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4669" w14:textId="63631715" w:rsidR="00110FDD" w:rsidRDefault="00110FDD" w:rsidP="00590156"/>
    <w:p w14:paraId="48C9C9D0" w14:textId="77777777" w:rsidR="00B41A83" w:rsidRDefault="00B41A83" w:rsidP="00590156"/>
    <w:p w14:paraId="1869F194" w14:textId="77777777" w:rsidR="00B41A83" w:rsidRDefault="00B41A83" w:rsidP="00590156"/>
    <w:p w14:paraId="555FDF45" w14:textId="77777777" w:rsidR="00B41A83" w:rsidRDefault="00B41A83" w:rsidP="00590156"/>
    <w:p w14:paraId="149C7D58" w14:textId="77777777" w:rsidR="00B41A83" w:rsidRDefault="00B41A83" w:rsidP="00590156"/>
    <w:p w14:paraId="47278E86" w14:textId="77777777" w:rsidR="00B41A83" w:rsidRDefault="00B41A83" w:rsidP="00590156"/>
    <w:p w14:paraId="5CC89A11" w14:textId="77777777" w:rsidR="00B41A83" w:rsidRDefault="00B41A83" w:rsidP="00590156"/>
    <w:p w14:paraId="123300AC" w14:textId="77777777" w:rsidR="00B41A83" w:rsidRDefault="00B41A83" w:rsidP="00590156"/>
    <w:p w14:paraId="1EDF0788" w14:textId="77777777" w:rsidR="00B41A83" w:rsidRDefault="00B41A83" w:rsidP="00590156"/>
    <w:p w14:paraId="028E57EF" w14:textId="77777777" w:rsidR="00B41A83" w:rsidRDefault="00B41A83" w:rsidP="00590156"/>
    <w:p w14:paraId="28C00DFE" w14:textId="77777777" w:rsidR="00B41A83" w:rsidRPr="00BD1EF3" w:rsidRDefault="00B41A83" w:rsidP="00B41A83">
      <w:pPr>
        <w:widowControl w:val="0"/>
        <w:autoSpaceDE w:val="0"/>
        <w:autoSpaceDN w:val="0"/>
        <w:adjustRightInd w:val="0"/>
        <w:spacing w:line="280" w:lineRule="atLeast"/>
        <w:jc w:val="both"/>
        <w:rPr>
          <w:rFonts w:ascii="Tahoma" w:hAnsi="Tahoma" w:cs="Tahoma"/>
          <w:b/>
          <w:bCs/>
          <w:sz w:val="20"/>
        </w:rPr>
      </w:pPr>
    </w:p>
    <w:p w14:paraId="6AE5A429" w14:textId="77777777" w:rsidR="00B41A83" w:rsidRPr="00BD1EF3" w:rsidRDefault="00B41A83" w:rsidP="00B41A83">
      <w:pPr>
        <w:widowControl w:val="0"/>
        <w:autoSpaceDE w:val="0"/>
        <w:autoSpaceDN w:val="0"/>
        <w:adjustRightInd w:val="0"/>
        <w:spacing w:line="280" w:lineRule="atLeast"/>
        <w:jc w:val="both"/>
        <w:rPr>
          <w:rFonts w:ascii="Tahoma" w:hAnsi="Tahoma" w:cs="Tahoma"/>
          <w:b/>
          <w:bCs/>
          <w:sz w:val="20"/>
        </w:rPr>
      </w:pPr>
    </w:p>
    <w:p w14:paraId="06D79F66" w14:textId="77777777" w:rsidR="00B41A83" w:rsidRPr="00BD1EF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190AD21E" w14:textId="77777777" w:rsidR="00B41A83" w:rsidRPr="00BD1EF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4F2B7601" w14:textId="77777777" w:rsidR="00B41A83" w:rsidRPr="00BD1EF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515AEB8A" w14:textId="77777777" w:rsidR="00B41A83" w:rsidRPr="00BD1EF3" w:rsidRDefault="00B41A83" w:rsidP="00B41A83">
      <w:pPr>
        <w:widowControl w:val="0"/>
        <w:autoSpaceDE w:val="0"/>
        <w:autoSpaceDN w:val="0"/>
        <w:adjustRightInd w:val="0"/>
        <w:spacing w:line="280" w:lineRule="atLeast"/>
        <w:jc w:val="center"/>
        <w:rPr>
          <w:rFonts w:ascii="Tahoma" w:hAnsi="Tahoma" w:cs="Tahoma"/>
          <w:sz w:val="40"/>
          <w:szCs w:val="40"/>
        </w:rPr>
      </w:pPr>
    </w:p>
    <w:p w14:paraId="280AEB8B" w14:textId="77777777" w:rsidR="00B41A83" w:rsidRDefault="00B41A83" w:rsidP="00B41A83">
      <w:pPr>
        <w:widowControl w:val="0"/>
        <w:autoSpaceDE w:val="0"/>
        <w:autoSpaceDN w:val="0"/>
        <w:adjustRightInd w:val="0"/>
        <w:spacing w:line="280" w:lineRule="atLeast"/>
        <w:jc w:val="center"/>
        <w:rPr>
          <w:rFonts w:ascii="Tahoma" w:hAnsi="Tahoma" w:cs="Tahoma"/>
          <w:b/>
          <w:bCs/>
          <w:sz w:val="40"/>
          <w:szCs w:val="40"/>
        </w:rPr>
      </w:pPr>
      <w:r w:rsidRPr="00BD1EF3">
        <w:rPr>
          <w:rFonts w:ascii="Tahoma" w:hAnsi="Tahoma" w:cs="Tahoma"/>
          <w:b/>
          <w:bCs/>
          <w:sz w:val="40"/>
          <w:szCs w:val="40"/>
        </w:rPr>
        <w:t xml:space="preserve">Klokkenluidersregeling </w:t>
      </w:r>
    </w:p>
    <w:p w14:paraId="45FB083D" w14:textId="77777777" w:rsidR="00B41A8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4A77F6B5" w14:textId="77777777" w:rsidR="00B41A8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774062D4" w14:textId="77777777" w:rsidR="00B41A8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7C1C607D" w14:textId="77777777" w:rsidR="00B41A83" w:rsidRDefault="00B41A83" w:rsidP="00B41A83">
      <w:pPr>
        <w:widowControl w:val="0"/>
        <w:autoSpaceDE w:val="0"/>
        <w:autoSpaceDN w:val="0"/>
        <w:adjustRightInd w:val="0"/>
        <w:spacing w:line="280" w:lineRule="atLeast"/>
        <w:jc w:val="center"/>
        <w:rPr>
          <w:rFonts w:ascii="Tahoma" w:hAnsi="Tahoma" w:cs="Tahoma"/>
          <w:b/>
          <w:bCs/>
          <w:sz w:val="40"/>
          <w:szCs w:val="40"/>
        </w:rPr>
      </w:pPr>
    </w:p>
    <w:p w14:paraId="67AE96D1" w14:textId="77777777" w:rsidR="00B41A83" w:rsidRPr="00BD1EF3" w:rsidRDefault="00B41A83" w:rsidP="00B41A83">
      <w:pPr>
        <w:widowControl w:val="0"/>
        <w:autoSpaceDE w:val="0"/>
        <w:autoSpaceDN w:val="0"/>
        <w:adjustRightInd w:val="0"/>
        <w:spacing w:line="280" w:lineRule="atLeast"/>
        <w:jc w:val="center"/>
        <w:rPr>
          <w:rFonts w:ascii="Tahoma" w:hAnsi="Tahoma" w:cs="Tahoma"/>
          <w:b/>
          <w:bCs/>
          <w:sz w:val="40"/>
          <w:szCs w:val="40"/>
        </w:rPr>
      </w:pPr>
      <w:r>
        <w:rPr>
          <w:rFonts w:ascii="Tahoma" w:hAnsi="Tahoma" w:cs="Tahoma"/>
          <w:b/>
          <w:bCs/>
          <w:sz w:val="40"/>
          <w:szCs w:val="40"/>
        </w:rPr>
        <w:t>Maart 2017</w:t>
      </w:r>
    </w:p>
    <w:p w14:paraId="2FDCB00F" w14:textId="77777777" w:rsidR="00B41A83" w:rsidRPr="00BD1EF3" w:rsidRDefault="00B41A83" w:rsidP="00B41A83">
      <w:pPr>
        <w:widowControl w:val="0"/>
        <w:autoSpaceDE w:val="0"/>
        <w:autoSpaceDN w:val="0"/>
        <w:adjustRightInd w:val="0"/>
        <w:spacing w:line="280" w:lineRule="atLeast"/>
        <w:jc w:val="center"/>
        <w:rPr>
          <w:rFonts w:ascii="Tahoma" w:hAnsi="Tahoma" w:cs="Tahoma"/>
          <w:b/>
          <w:bCs/>
          <w:sz w:val="40"/>
          <w:szCs w:val="40"/>
          <w:highlight w:val="yellow"/>
        </w:rPr>
      </w:pPr>
    </w:p>
    <w:p w14:paraId="405B0B03" w14:textId="77777777" w:rsidR="00B41A83" w:rsidRPr="00BD1EF3" w:rsidRDefault="00B41A83" w:rsidP="00B41A83">
      <w:pPr>
        <w:pStyle w:val="Lijstalinea"/>
        <w:widowControl w:val="0"/>
        <w:numPr>
          <w:ilvl w:val="0"/>
          <w:numId w:val="45"/>
        </w:numPr>
        <w:autoSpaceDE w:val="0"/>
        <w:autoSpaceDN w:val="0"/>
        <w:adjustRightInd w:val="0"/>
        <w:spacing w:after="0" w:line="280" w:lineRule="atLeast"/>
        <w:jc w:val="both"/>
        <w:rPr>
          <w:rFonts w:ascii="Tahoma" w:hAnsi="Tahoma" w:cs="Tahoma"/>
          <w:b/>
          <w:sz w:val="24"/>
          <w:szCs w:val="24"/>
        </w:rPr>
      </w:pPr>
      <w:r w:rsidRPr="00BD1EF3">
        <w:rPr>
          <w:rFonts w:ascii="Tahoma" w:hAnsi="Tahoma" w:cs="Tahoma"/>
          <w:sz w:val="40"/>
          <w:szCs w:val="40"/>
        </w:rPr>
        <w:br w:type="page"/>
      </w:r>
      <w:r w:rsidRPr="00BD1EF3" w:rsidDel="00D94F30">
        <w:rPr>
          <w:rFonts w:ascii="Tahoma" w:hAnsi="Tahoma" w:cs="Tahoma"/>
          <w:b/>
          <w:bCs/>
          <w:sz w:val="24"/>
          <w:szCs w:val="24"/>
        </w:rPr>
        <w:lastRenderedPageBreak/>
        <w:t xml:space="preserve"> </w:t>
      </w:r>
      <w:r w:rsidRPr="00BD1EF3">
        <w:rPr>
          <w:rFonts w:ascii="Tahoma" w:hAnsi="Tahoma" w:cs="Tahoma"/>
          <w:b/>
          <w:bCs/>
          <w:sz w:val="24"/>
          <w:szCs w:val="24"/>
        </w:rPr>
        <w:t>DE KLOKKENLUIDERSREGELING</w:t>
      </w:r>
    </w:p>
    <w:p w14:paraId="7FC24A94"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5BB3FD76" w14:textId="72E268BB" w:rsidR="00B41A83" w:rsidRPr="00BD1EF3" w:rsidRDefault="00B41A83" w:rsidP="00B41A83">
      <w:pPr>
        <w:widowControl w:val="0"/>
        <w:overflowPunct w:val="0"/>
        <w:autoSpaceDE w:val="0"/>
        <w:autoSpaceDN w:val="0"/>
        <w:adjustRightInd w:val="0"/>
        <w:spacing w:line="280" w:lineRule="atLeast"/>
        <w:jc w:val="both"/>
        <w:rPr>
          <w:rFonts w:ascii="Tahoma" w:hAnsi="Tahoma" w:cs="Tahoma"/>
        </w:rPr>
      </w:pPr>
      <w:r w:rsidRPr="00BD1EF3">
        <w:rPr>
          <w:rFonts w:ascii="Tahoma" w:hAnsi="Tahoma" w:cs="Tahoma"/>
          <w:b/>
          <w:bCs/>
        </w:rPr>
        <w:t xml:space="preserve">Regeling inzake het omgaan met een vermoeden van een ernstige misstand (‘Klokkenluidersregeling </w:t>
      </w:r>
      <w:r>
        <w:rPr>
          <w:rFonts w:ascii="Tahoma" w:hAnsi="Tahoma" w:cs="Tahoma"/>
          <w:b/>
          <w:bCs/>
        </w:rPr>
        <w:t>VCO</w:t>
      </w:r>
      <w:r>
        <w:rPr>
          <w:rFonts w:ascii="Tahoma" w:hAnsi="Tahoma" w:cs="Tahoma"/>
          <w:b/>
          <w:bCs/>
        </w:rPr>
        <w:t xml:space="preserve"> de Hoeksteen</w:t>
      </w:r>
      <w:r w:rsidR="009B1B57">
        <w:rPr>
          <w:rFonts w:ascii="Tahoma" w:hAnsi="Tahoma" w:cs="Tahoma"/>
          <w:b/>
          <w:bCs/>
        </w:rPr>
        <w:t>, hierna te noemen Hoeksteen</w:t>
      </w:r>
      <w:r w:rsidRPr="00BD1EF3">
        <w:rPr>
          <w:rFonts w:ascii="Tahoma" w:hAnsi="Tahoma" w:cs="Tahoma"/>
          <w:b/>
          <w:bCs/>
        </w:rPr>
        <w:t>’)</w:t>
      </w:r>
    </w:p>
    <w:p w14:paraId="230F6EB6"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2217039A" w14:textId="77777777" w:rsidR="00B41A83" w:rsidRPr="00BD1EF3" w:rsidRDefault="00B41A83" w:rsidP="00B41A83">
      <w:pPr>
        <w:widowControl w:val="0"/>
        <w:autoSpaceDE w:val="0"/>
        <w:autoSpaceDN w:val="0"/>
        <w:adjustRightInd w:val="0"/>
        <w:spacing w:line="280" w:lineRule="atLeast"/>
        <w:jc w:val="both"/>
        <w:rPr>
          <w:rFonts w:ascii="Tahoma" w:hAnsi="Tahoma" w:cs="Tahoma"/>
          <w:b/>
          <w:bCs/>
          <w:sz w:val="20"/>
        </w:rPr>
      </w:pPr>
    </w:p>
    <w:p w14:paraId="67F1E95C" w14:textId="77777777" w:rsidR="00B41A83" w:rsidRPr="00BD1EF3" w:rsidRDefault="00B41A83" w:rsidP="00B41A83">
      <w:pPr>
        <w:widowControl w:val="0"/>
        <w:autoSpaceDE w:val="0"/>
        <w:autoSpaceDN w:val="0"/>
        <w:adjustRightInd w:val="0"/>
        <w:spacing w:line="280" w:lineRule="atLeast"/>
        <w:jc w:val="both"/>
        <w:rPr>
          <w:rFonts w:ascii="Tahoma" w:hAnsi="Tahoma" w:cs="Tahoma"/>
        </w:rPr>
      </w:pPr>
      <w:r w:rsidRPr="00BD1EF3">
        <w:rPr>
          <w:rFonts w:ascii="Tahoma" w:hAnsi="Tahoma" w:cs="Tahoma"/>
          <w:b/>
          <w:bCs/>
        </w:rPr>
        <w:t>Preambule</w:t>
      </w:r>
    </w:p>
    <w:p w14:paraId="46925406"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76AE4FB4" w14:textId="07DFFED3"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De regeling betreffende het omgaan met een vermoeden van een misstand binnen </w:t>
      </w:r>
      <w:r w:rsidRPr="00C13B5F">
        <w:rPr>
          <w:rFonts w:ascii="Tahoma" w:hAnsi="Tahoma" w:cs="Tahoma"/>
          <w:b/>
          <w:bCs/>
          <w:sz w:val="20"/>
        </w:rPr>
        <w:t xml:space="preserve">de </w:t>
      </w:r>
      <w:r w:rsidR="009B1B57">
        <w:rPr>
          <w:rFonts w:ascii="Tahoma" w:hAnsi="Tahoma" w:cs="Tahoma"/>
          <w:b/>
          <w:bCs/>
          <w:sz w:val="20"/>
        </w:rPr>
        <w:t>Hoeksteen</w:t>
      </w:r>
      <w:r w:rsidRPr="00C13B5F">
        <w:rPr>
          <w:rFonts w:ascii="Tahoma" w:hAnsi="Tahoma" w:cs="Tahoma"/>
          <w:sz w:val="20"/>
        </w:rPr>
        <w:t xml:space="preserve"> biedt</w:t>
      </w:r>
      <w:r w:rsidRPr="00BD1EF3">
        <w:rPr>
          <w:rFonts w:ascii="Tahoma" w:hAnsi="Tahoma" w:cs="Tahoma"/>
          <w:sz w:val="20"/>
        </w:rPr>
        <w:t xml:space="preserve"> een heldere beschrijving van de procedure die gevolgd moet</w:t>
      </w:r>
      <w:r w:rsidRPr="00BD1EF3">
        <w:rPr>
          <w:rFonts w:ascii="Tahoma" w:hAnsi="Tahoma" w:cs="Tahoma"/>
          <w:b/>
          <w:bCs/>
          <w:sz w:val="20"/>
        </w:rPr>
        <w:t xml:space="preserve"> </w:t>
      </w:r>
      <w:r w:rsidRPr="00BD1EF3">
        <w:rPr>
          <w:rFonts w:ascii="Tahoma" w:hAnsi="Tahoma" w:cs="Tahoma"/>
          <w:sz w:val="20"/>
        </w:rPr>
        <w:t>worden wanneer een (op redelijke gronden gebaseerd) vermoeden van een misstand bestaat.</w:t>
      </w:r>
    </w:p>
    <w:p w14:paraId="1834B151"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38832CE5"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brengt het uitgangspunt tot uitdrukking dat een vermoeden van een misstand in beginsel eerst intern aan de kaak moet worden gesteld. De organisatie moet (in beginsel) in de gelegenheid worden gesteld om zelf orde op zaken te stellen. In bepaalde gevallen biedt de regeling echter de mogelijkheid om een externe melding te doen. In gevallen waarin in redelijkheid niet verwacht kan worden dat de interne procedure doorlopen wordt, kan (direct) melding worden gedaan bij een onafhankelijke externe derde.</w:t>
      </w:r>
    </w:p>
    <w:p w14:paraId="1B5E1713"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03A7EB21"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w:t>
      </w:r>
    </w:p>
    <w:p w14:paraId="5BF3FF71"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3A9B8391"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onderhavige regeling is niet bedoeld voor persoonlijke klachten van betrokkenen en moet onderscheiden worden van de Klachtenregeling en de ‘Regeling ter voorkoming van seksuele intimidatie, agressie, geweld (waaronder pesten) en discriminatie’.</w:t>
      </w:r>
    </w:p>
    <w:p w14:paraId="7B1332A1"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p>
    <w:p w14:paraId="2A8A4C57"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b/>
          <w:bCs/>
          <w:sz w:val="20"/>
        </w:rPr>
      </w:pPr>
    </w:p>
    <w:p w14:paraId="169F7735" w14:textId="77777777" w:rsidR="00B41A83" w:rsidRPr="00BD1EF3" w:rsidRDefault="00B41A83" w:rsidP="00B41A83">
      <w:pPr>
        <w:spacing w:line="280" w:lineRule="atLeast"/>
        <w:rPr>
          <w:rFonts w:ascii="Tahoma" w:hAnsi="Tahoma" w:cs="Tahoma"/>
          <w:b/>
          <w:bCs/>
        </w:rPr>
      </w:pPr>
      <w:r w:rsidRPr="00BD1EF3">
        <w:rPr>
          <w:rFonts w:ascii="Tahoma" w:hAnsi="Tahoma" w:cs="Tahoma"/>
          <w:b/>
          <w:bCs/>
        </w:rPr>
        <w:br w:type="page"/>
      </w:r>
    </w:p>
    <w:p w14:paraId="7EACD84F" w14:textId="1EA563C2" w:rsidR="00B41A83" w:rsidRPr="00BD1EF3" w:rsidRDefault="00B41A83" w:rsidP="00B41A83">
      <w:pPr>
        <w:widowControl w:val="0"/>
        <w:overflowPunct w:val="0"/>
        <w:autoSpaceDE w:val="0"/>
        <w:autoSpaceDN w:val="0"/>
        <w:adjustRightInd w:val="0"/>
        <w:spacing w:line="280" w:lineRule="atLeast"/>
        <w:jc w:val="both"/>
        <w:rPr>
          <w:rFonts w:ascii="Tahoma" w:hAnsi="Tahoma" w:cs="Tahoma"/>
        </w:rPr>
      </w:pPr>
      <w:r w:rsidRPr="00BD1EF3">
        <w:rPr>
          <w:rFonts w:ascii="Tahoma" w:hAnsi="Tahoma" w:cs="Tahoma"/>
          <w:b/>
          <w:bCs/>
        </w:rPr>
        <w:lastRenderedPageBreak/>
        <w:t xml:space="preserve">Regeling inzake het omgaan met een vermoeden van een misstand binnen </w:t>
      </w:r>
      <w:r>
        <w:rPr>
          <w:rFonts w:ascii="Tahoma" w:hAnsi="Tahoma" w:cs="Tahoma"/>
          <w:b/>
          <w:bCs/>
        </w:rPr>
        <w:t xml:space="preserve">de </w:t>
      </w:r>
      <w:r w:rsidR="009B1B57">
        <w:rPr>
          <w:rFonts w:ascii="Tahoma" w:hAnsi="Tahoma" w:cs="Tahoma"/>
          <w:b/>
          <w:bCs/>
        </w:rPr>
        <w:t>Hoeksteen</w:t>
      </w:r>
    </w:p>
    <w:p w14:paraId="47F34769"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5B075299"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 Begripsbepalingen en Algemene Bepalingen</w:t>
      </w:r>
    </w:p>
    <w:p w14:paraId="42F88E0D"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546E53BA"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1.A Begripsbepalingen</w:t>
      </w:r>
    </w:p>
    <w:p w14:paraId="278ED998"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2E3E5996"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In deze regeling wordt verstaan onder: </w:t>
      </w:r>
    </w:p>
    <w:p w14:paraId="28FFA044"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 </w:t>
      </w:r>
      <w:r w:rsidRPr="00BD1EF3">
        <w:rPr>
          <w:rFonts w:ascii="Tahoma" w:hAnsi="Tahoma" w:cs="Tahoma"/>
          <w:sz w:val="20"/>
        </w:rPr>
        <w:tab/>
      </w:r>
      <w:r w:rsidRPr="00BD1EF3">
        <w:rPr>
          <w:rFonts w:ascii="Tahoma" w:hAnsi="Tahoma" w:cs="Tahoma"/>
          <w:i/>
          <w:iCs/>
          <w:sz w:val="20"/>
        </w:rPr>
        <w:t xml:space="preserve">Betrokkene: </w:t>
      </w:r>
      <w:r w:rsidRPr="00BD1EF3">
        <w:rPr>
          <w:rFonts w:ascii="Tahoma" w:hAnsi="Tahoma" w:cs="Tahoma"/>
          <w:sz w:val="20"/>
        </w:rPr>
        <w:t xml:space="preserve">degene die als leerling staat ingeschreven bij één van de scholen van het </w:t>
      </w:r>
      <w:r w:rsidRPr="00BD1EF3">
        <w:rPr>
          <w:rFonts w:ascii="Tahoma" w:hAnsi="Tahoma" w:cs="Tahoma"/>
          <w:sz w:val="20"/>
        </w:rPr>
        <w:tab/>
        <w:t>bevoegd gezag dan wel diens wettelijke vertegenwoordiger (o.a. ouder) en de werknemer;</w:t>
      </w:r>
    </w:p>
    <w:p w14:paraId="71B42332" w14:textId="77777777" w:rsidR="00B41A83" w:rsidRPr="00BD1EF3" w:rsidRDefault="00B41A83" w:rsidP="00B41A83">
      <w:pPr>
        <w:widowControl w:val="0"/>
        <w:numPr>
          <w:ilvl w:val="0"/>
          <w:numId w:val="26"/>
        </w:numPr>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Externe derde: </w:t>
      </w:r>
      <w:r w:rsidRPr="00BD1EF3">
        <w:rPr>
          <w:rFonts w:ascii="Tahoma" w:hAnsi="Tahoma" w:cs="Tahoma"/>
          <w:sz w:val="20"/>
        </w:rPr>
        <w:t>een externe derde aan wie een klokkenluider melding doet, zoals bedoeld in</w:t>
      </w:r>
      <w:r w:rsidRPr="00BD1EF3">
        <w:rPr>
          <w:rFonts w:ascii="Tahoma" w:hAnsi="Tahoma" w:cs="Tahoma"/>
          <w:i/>
          <w:iCs/>
          <w:sz w:val="20"/>
        </w:rPr>
        <w:tab/>
      </w:r>
      <w:r w:rsidRPr="00BD1EF3">
        <w:rPr>
          <w:rFonts w:ascii="Tahoma" w:hAnsi="Tahoma" w:cs="Tahoma"/>
          <w:sz w:val="20"/>
        </w:rPr>
        <w:t xml:space="preserve">artikel 11; </w:t>
      </w:r>
    </w:p>
    <w:p w14:paraId="26B734D8" w14:textId="77777777" w:rsidR="00B41A83" w:rsidRPr="00BD1EF3" w:rsidRDefault="00B41A83" w:rsidP="00B41A83">
      <w:pPr>
        <w:widowControl w:val="0"/>
        <w:numPr>
          <w:ilvl w:val="0"/>
          <w:numId w:val="26"/>
        </w:numPr>
        <w:tabs>
          <w:tab w:val="clear" w:pos="720"/>
          <w:tab w:val="num" w:pos="160"/>
        </w:tabs>
        <w:overflowPunct w:val="0"/>
        <w:autoSpaceDE w:val="0"/>
        <w:autoSpaceDN w:val="0"/>
        <w:adjustRightInd w:val="0"/>
        <w:spacing w:line="280" w:lineRule="atLeast"/>
        <w:ind w:left="160" w:hanging="15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Commissie: </w:t>
      </w:r>
      <w:r w:rsidRPr="00BD1EF3">
        <w:rPr>
          <w:rFonts w:ascii="Tahoma" w:hAnsi="Tahoma" w:cs="Tahoma"/>
          <w:sz w:val="20"/>
        </w:rPr>
        <w:t>de Commissie Integriteit</w:t>
      </w:r>
      <w:r>
        <w:rPr>
          <w:rFonts w:ascii="Tahoma" w:hAnsi="Tahoma" w:cs="Tahoma"/>
          <w:sz w:val="20"/>
        </w:rPr>
        <w:t>s</w:t>
      </w:r>
      <w:r w:rsidRPr="00BD1EF3">
        <w:rPr>
          <w:rFonts w:ascii="Tahoma" w:hAnsi="Tahoma" w:cs="Tahoma"/>
          <w:sz w:val="20"/>
        </w:rPr>
        <w:t xml:space="preserve">vraagstukken Reformatorisch </w:t>
      </w:r>
      <w:r>
        <w:rPr>
          <w:rFonts w:ascii="Tahoma" w:hAnsi="Tahoma" w:cs="Tahoma"/>
          <w:sz w:val="20"/>
        </w:rPr>
        <w:t xml:space="preserve">Primair </w:t>
      </w:r>
      <w:r w:rsidRPr="00BD1EF3">
        <w:rPr>
          <w:rFonts w:ascii="Tahoma" w:hAnsi="Tahoma" w:cs="Tahoma"/>
          <w:sz w:val="20"/>
        </w:rPr>
        <w:t xml:space="preserve">Onderwijs zoals  </w:t>
      </w:r>
    </w:p>
    <w:p w14:paraId="5D7309B9" w14:textId="77777777" w:rsidR="00B41A83" w:rsidRPr="00BD1EF3" w:rsidRDefault="00B41A83" w:rsidP="00B41A83">
      <w:pPr>
        <w:widowControl w:val="0"/>
        <w:overflowPunct w:val="0"/>
        <w:autoSpaceDE w:val="0"/>
        <w:autoSpaceDN w:val="0"/>
        <w:adjustRightInd w:val="0"/>
        <w:spacing w:line="280" w:lineRule="atLeast"/>
        <w:ind w:left="160" w:firstLine="548"/>
        <w:jc w:val="both"/>
        <w:rPr>
          <w:rFonts w:ascii="Tahoma" w:hAnsi="Tahoma" w:cs="Tahoma"/>
          <w:sz w:val="20"/>
        </w:rPr>
      </w:pPr>
      <w:r w:rsidRPr="00BD1EF3">
        <w:rPr>
          <w:rFonts w:ascii="Tahoma" w:hAnsi="Tahoma" w:cs="Tahoma"/>
          <w:sz w:val="20"/>
        </w:rPr>
        <w:t>bedoeld in artikel 5;</w:t>
      </w:r>
      <w:r w:rsidRPr="00BD1EF3">
        <w:rPr>
          <w:rFonts w:ascii="Tahoma" w:hAnsi="Tahoma" w:cs="Tahoma"/>
          <w:i/>
          <w:iCs/>
          <w:sz w:val="20"/>
        </w:rPr>
        <w:t xml:space="preserve"> </w:t>
      </w:r>
    </w:p>
    <w:p w14:paraId="2148F472" w14:textId="77777777" w:rsidR="00B41A83" w:rsidRPr="00BD1EF3" w:rsidRDefault="00B41A83" w:rsidP="00B41A83">
      <w:pPr>
        <w:widowControl w:val="0"/>
        <w:numPr>
          <w:ilvl w:val="0"/>
          <w:numId w:val="26"/>
        </w:numPr>
        <w:overflowPunct w:val="0"/>
        <w:autoSpaceDE w:val="0"/>
        <w:autoSpaceDN w:val="0"/>
        <w:adjustRightInd w:val="0"/>
        <w:spacing w:line="280" w:lineRule="atLeast"/>
        <w:ind w:left="709" w:hanging="706"/>
        <w:jc w:val="both"/>
        <w:rPr>
          <w:rFonts w:ascii="Tahoma" w:hAnsi="Tahoma" w:cs="Tahoma"/>
          <w:sz w:val="20"/>
        </w:rPr>
      </w:pPr>
      <w:r w:rsidRPr="00BD1EF3">
        <w:rPr>
          <w:rFonts w:ascii="Tahoma" w:hAnsi="Tahoma" w:cs="Tahoma"/>
          <w:i/>
          <w:iCs/>
          <w:sz w:val="20"/>
        </w:rPr>
        <w:t>Huis:</w:t>
      </w:r>
      <w:r w:rsidRPr="00BD1EF3">
        <w:rPr>
          <w:rFonts w:ascii="Tahoma" w:hAnsi="Tahoma" w:cs="Tahoma"/>
          <w:sz w:val="20"/>
        </w:rPr>
        <w:t xml:space="preserve"> het Huis voor klokkenluiders bedoeld in artikel 3 van de Wet Huis voor klokkenluiders (Staatsblad 2016, nr. 147);</w:t>
      </w:r>
    </w:p>
    <w:p w14:paraId="06D68505" w14:textId="77777777" w:rsidR="00B41A83" w:rsidRPr="00BD1EF3" w:rsidRDefault="00B41A83" w:rsidP="00B41A83">
      <w:pPr>
        <w:widowControl w:val="0"/>
        <w:numPr>
          <w:ilvl w:val="0"/>
          <w:numId w:val="26"/>
        </w:numPr>
        <w:tabs>
          <w:tab w:val="clear" w:pos="720"/>
          <w:tab w:val="num" w:pos="180"/>
          <w:tab w:val="left" w:pos="709"/>
        </w:tabs>
        <w:overflowPunct w:val="0"/>
        <w:autoSpaceDE w:val="0"/>
        <w:autoSpaceDN w:val="0"/>
        <w:adjustRightInd w:val="0"/>
        <w:spacing w:line="280" w:lineRule="atLeast"/>
        <w:ind w:left="180" w:hanging="17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Bevoegd gezag: </w:t>
      </w:r>
      <w:r w:rsidRPr="00BD1EF3">
        <w:rPr>
          <w:rFonts w:ascii="Tahoma" w:hAnsi="Tahoma" w:cs="Tahoma"/>
          <w:iCs/>
          <w:sz w:val="20"/>
        </w:rPr>
        <w:t>in deze regeling éé</w:t>
      </w:r>
      <w:r w:rsidRPr="00BD1EF3">
        <w:rPr>
          <w:rFonts w:ascii="Tahoma" w:hAnsi="Tahoma" w:cs="Tahoma"/>
          <w:sz w:val="20"/>
        </w:rPr>
        <w:t>n of alle leden van het college van bestuur;</w:t>
      </w:r>
      <w:r w:rsidRPr="00BD1EF3">
        <w:rPr>
          <w:rFonts w:ascii="Tahoma" w:hAnsi="Tahoma" w:cs="Tahoma"/>
          <w:i/>
          <w:iCs/>
          <w:sz w:val="20"/>
        </w:rPr>
        <w:t xml:space="preserve"> </w:t>
      </w:r>
    </w:p>
    <w:p w14:paraId="6EB9CEDB" w14:textId="77777777" w:rsidR="00B41A83" w:rsidRPr="00BD1EF3" w:rsidRDefault="00B41A83" w:rsidP="00B41A83">
      <w:pPr>
        <w:widowControl w:val="0"/>
        <w:numPr>
          <w:ilvl w:val="0"/>
          <w:numId w:val="26"/>
        </w:numPr>
        <w:tabs>
          <w:tab w:val="clear" w:pos="720"/>
          <w:tab w:val="num" w:pos="169"/>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Toezichthouder: </w:t>
      </w:r>
      <w:r w:rsidRPr="00BD1EF3">
        <w:rPr>
          <w:rFonts w:ascii="Tahoma" w:hAnsi="Tahoma" w:cs="Tahoma"/>
          <w:iCs/>
          <w:sz w:val="20"/>
        </w:rPr>
        <w:t xml:space="preserve">in deze regeling </w:t>
      </w:r>
      <w:r w:rsidRPr="00BD1EF3">
        <w:rPr>
          <w:rFonts w:ascii="Tahoma" w:hAnsi="Tahoma" w:cs="Tahoma"/>
          <w:sz w:val="20"/>
        </w:rPr>
        <w:t>de persoon/personen die belast is/zijn met het interne</w:t>
      </w:r>
      <w:r w:rsidRPr="00BD1EF3">
        <w:rPr>
          <w:rFonts w:ascii="Tahoma" w:hAnsi="Tahoma" w:cs="Tahoma"/>
          <w:i/>
          <w:iCs/>
          <w:sz w:val="20"/>
        </w:rPr>
        <w:t xml:space="preserve"> </w:t>
      </w:r>
      <w:r w:rsidRPr="00BD1EF3">
        <w:rPr>
          <w:rFonts w:ascii="Tahoma" w:hAnsi="Tahoma" w:cs="Tahoma"/>
          <w:iCs/>
          <w:sz w:val="20"/>
        </w:rPr>
        <w:tab/>
      </w:r>
      <w:r w:rsidRPr="00BD1EF3">
        <w:rPr>
          <w:rFonts w:ascii="Tahoma" w:hAnsi="Tahoma" w:cs="Tahoma"/>
          <w:iCs/>
          <w:sz w:val="20"/>
        </w:rPr>
        <w:tab/>
        <w:t>t</w:t>
      </w:r>
      <w:r w:rsidRPr="00BD1EF3">
        <w:rPr>
          <w:rFonts w:ascii="Tahoma" w:hAnsi="Tahoma" w:cs="Tahoma"/>
          <w:sz w:val="20"/>
        </w:rPr>
        <w:t xml:space="preserve">oezicht op het bestuur; </w:t>
      </w:r>
    </w:p>
    <w:p w14:paraId="694190AE" w14:textId="77777777" w:rsidR="00B41A83" w:rsidRPr="00BD1EF3" w:rsidRDefault="00B41A83" w:rsidP="00B41A83">
      <w:pPr>
        <w:widowControl w:val="0"/>
        <w:numPr>
          <w:ilvl w:val="0"/>
          <w:numId w:val="26"/>
        </w:numPr>
        <w:tabs>
          <w:tab w:val="clear" w:pos="720"/>
          <w:tab w:val="num" w:pos="127"/>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Vertrouwenspersoon: </w:t>
      </w:r>
      <w:r w:rsidRPr="00BD1EF3">
        <w:rPr>
          <w:rFonts w:ascii="Tahoma" w:hAnsi="Tahoma" w:cs="Tahoma"/>
          <w:sz w:val="20"/>
        </w:rPr>
        <w:t xml:space="preserve">de vertrouwenspersoon die </w:t>
      </w:r>
      <w:r>
        <w:rPr>
          <w:rFonts w:ascii="Tahoma" w:hAnsi="Tahoma" w:cs="Tahoma"/>
          <w:sz w:val="20"/>
        </w:rPr>
        <w:t>onder andere</w:t>
      </w:r>
      <w:r w:rsidRPr="00BD1EF3">
        <w:rPr>
          <w:rFonts w:ascii="Tahoma" w:hAnsi="Tahoma" w:cs="Tahoma"/>
          <w:sz w:val="20"/>
        </w:rPr>
        <w:t xml:space="preserve"> belast is met de</w:t>
      </w:r>
      <w:r w:rsidRPr="00BD1EF3">
        <w:rPr>
          <w:rFonts w:ascii="Tahoma" w:hAnsi="Tahoma" w:cs="Tahoma"/>
          <w:i/>
          <w:iCs/>
          <w:sz w:val="20"/>
        </w:rPr>
        <w:tab/>
      </w:r>
      <w:r w:rsidRPr="00BD1EF3">
        <w:rPr>
          <w:rFonts w:ascii="Tahoma" w:hAnsi="Tahoma" w:cs="Tahoma"/>
          <w:i/>
          <w:iCs/>
          <w:sz w:val="20"/>
        </w:rPr>
        <w:tab/>
      </w:r>
      <w:r w:rsidRPr="00BD1EF3">
        <w:rPr>
          <w:rFonts w:ascii="Tahoma" w:hAnsi="Tahoma" w:cs="Tahoma"/>
          <w:i/>
          <w:iCs/>
          <w:sz w:val="20"/>
        </w:rPr>
        <w:tab/>
      </w:r>
      <w:r>
        <w:rPr>
          <w:rFonts w:ascii="Tahoma" w:hAnsi="Tahoma" w:cs="Tahoma"/>
          <w:i/>
          <w:iCs/>
          <w:sz w:val="20"/>
        </w:rPr>
        <w:tab/>
      </w:r>
      <w:r w:rsidRPr="00BD1EF3">
        <w:rPr>
          <w:rFonts w:ascii="Tahoma" w:hAnsi="Tahoma" w:cs="Tahoma"/>
          <w:sz w:val="20"/>
        </w:rPr>
        <w:t xml:space="preserve">afhandelingen van meldingen van klokkenluiders; </w:t>
      </w:r>
    </w:p>
    <w:p w14:paraId="13585D6C" w14:textId="77777777" w:rsidR="00B41A83" w:rsidRPr="00BD1EF3" w:rsidRDefault="00B41A83" w:rsidP="00B41A83">
      <w:pPr>
        <w:pStyle w:val="Lijstalinea"/>
        <w:widowControl w:val="0"/>
        <w:numPr>
          <w:ilvl w:val="0"/>
          <w:numId w:val="26"/>
        </w:numPr>
        <w:overflowPunct w:val="0"/>
        <w:autoSpaceDE w:val="0"/>
        <w:autoSpaceDN w:val="0"/>
        <w:adjustRightInd w:val="0"/>
        <w:spacing w:after="0" w:line="280" w:lineRule="atLeast"/>
        <w:ind w:hanging="720"/>
        <w:jc w:val="both"/>
        <w:rPr>
          <w:rFonts w:ascii="Tahoma" w:hAnsi="Tahoma" w:cs="Tahoma"/>
          <w:sz w:val="20"/>
        </w:rPr>
      </w:pPr>
      <w:r w:rsidRPr="00BD1EF3">
        <w:rPr>
          <w:rFonts w:ascii="Tahoma" w:hAnsi="Tahoma" w:cs="Tahoma"/>
          <w:i/>
          <w:sz w:val="20"/>
        </w:rPr>
        <w:t>Vermoeden van een misstand</w:t>
      </w:r>
      <w:r w:rsidRPr="00BD1EF3">
        <w:rPr>
          <w:rFonts w:ascii="Tahoma" w:hAnsi="Tahoma" w:cs="Tahoma"/>
          <w:sz w:val="20"/>
        </w:rPr>
        <w:t>: het vermoeden van een betrokkene, dat binnen de 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4004B587" w14:textId="77777777" w:rsidR="00B41A83" w:rsidRPr="00BD1EF3" w:rsidRDefault="00B41A83" w:rsidP="00B41A83">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 xml:space="preserve">1e. </w:t>
      </w:r>
      <w:r w:rsidRPr="00BD1EF3">
        <w:rPr>
          <w:rFonts w:ascii="Tahoma" w:hAnsi="Tahoma" w:cs="Tahoma"/>
          <w:sz w:val="20"/>
        </w:rPr>
        <w:tab/>
        <w:t>het vermoeden gebaseerd is op redelijke gronden, die voortvloeien uit de kennis die de betrokkenen in de organisatie heeft opgedaan of voortvloeien uit de kennis die de werknemer heeft gekregen door zijn werkzaamheden bij een andere organisatie, en</w:t>
      </w:r>
    </w:p>
    <w:p w14:paraId="0FB4C5DA" w14:textId="77777777" w:rsidR="00B41A83" w:rsidRPr="00BD1EF3" w:rsidRDefault="00B41A83" w:rsidP="00B41A83">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2e.</w:t>
      </w:r>
      <w:r w:rsidRPr="00BD1EF3">
        <w:rPr>
          <w:rFonts w:ascii="Tahoma" w:hAnsi="Tahoma" w:cs="Tahoma"/>
          <w:sz w:val="20"/>
        </w:rPr>
        <w:tab/>
        <w:t>het maatschappelijk belang in het geding is bij:</w:t>
      </w:r>
    </w:p>
    <w:p w14:paraId="2516EC73"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de (dreigende) schending van een wettelijk voorschrift, waaronder een (dreigend) strafbaar feit,</w:t>
      </w:r>
    </w:p>
    <w:p w14:paraId="7B79D0B7"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volksgezondheid,</w:t>
      </w:r>
    </w:p>
    <w:p w14:paraId="0B48EDA0"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veiligheid van personen,</w:t>
      </w:r>
    </w:p>
    <w:p w14:paraId="07D0D165"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aantasting van het milieu,</w:t>
      </w:r>
    </w:p>
    <w:p w14:paraId="70FDC0FE"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pacing w:val="-1"/>
          <w:sz w:val="20"/>
        </w:rPr>
      </w:pPr>
      <w:r w:rsidRPr="00BD1EF3">
        <w:rPr>
          <w:rFonts w:ascii="Tahoma" w:hAnsi="Tahoma" w:cs="Tahoma"/>
          <w:spacing w:val="-1"/>
          <w:sz w:val="20"/>
        </w:rPr>
        <w:t>een (dreigend) gevaar voor het goed functioneren van de organisatie als gevolg van een onbehoorlijke wijze van handelen of nalaten,</w:t>
      </w:r>
    </w:p>
    <w:p w14:paraId="51E1BE0B"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schending van andere regels dan een wettelijk voorschrift,</w:t>
      </w:r>
    </w:p>
    <w:p w14:paraId="5C4489E1"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verspilling van overheidsgeld,</w:t>
      </w:r>
    </w:p>
    <w:p w14:paraId="4C6A6D6E" w14:textId="77777777" w:rsidR="00B41A83" w:rsidRPr="00BD1EF3" w:rsidRDefault="00B41A83" w:rsidP="00B41A83">
      <w:pPr>
        <w:widowControl w:val="0"/>
        <w:numPr>
          <w:ilvl w:val="0"/>
          <w:numId w:val="42"/>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dreiging van) het bewust achterhouden, vernietigen of</w:t>
      </w:r>
    </w:p>
    <w:p w14:paraId="29F4F5FF" w14:textId="77777777" w:rsidR="00B41A83" w:rsidRPr="00BD1EF3" w:rsidRDefault="00B41A83" w:rsidP="00B41A83">
      <w:pPr>
        <w:widowControl w:val="0"/>
        <w:kinsoku w:val="0"/>
        <w:overflowPunct w:val="0"/>
        <w:spacing w:line="280" w:lineRule="atLeast"/>
        <w:ind w:left="2203"/>
        <w:jc w:val="both"/>
        <w:textAlignment w:val="baseline"/>
        <w:rPr>
          <w:rFonts w:ascii="Tahoma" w:hAnsi="Tahoma" w:cs="Tahoma"/>
          <w:sz w:val="20"/>
        </w:rPr>
      </w:pPr>
      <w:r w:rsidRPr="00BD1EF3">
        <w:rPr>
          <w:rFonts w:ascii="Tahoma" w:hAnsi="Tahoma" w:cs="Tahoma"/>
          <w:sz w:val="20"/>
        </w:rPr>
        <w:t>manipuleren van informatie over de onder i t/m vii hierboven genoemde feiten;</w:t>
      </w:r>
    </w:p>
    <w:p w14:paraId="358DF3BB" w14:textId="77777777" w:rsidR="00B41A83" w:rsidRPr="00BD1EF3" w:rsidRDefault="00B41A83" w:rsidP="00B41A83">
      <w:pPr>
        <w:widowControl w:val="0"/>
        <w:numPr>
          <w:ilvl w:val="0"/>
          <w:numId w:val="26"/>
        </w:numPr>
        <w:autoSpaceDE w:val="0"/>
        <w:autoSpaceDN w:val="0"/>
        <w:adjustRightInd w:val="0"/>
        <w:spacing w:line="280" w:lineRule="atLeast"/>
        <w:ind w:hanging="720"/>
        <w:jc w:val="both"/>
        <w:rPr>
          <w:rFonts w:ascii="Tahoma" w:hAnsi="Tahoma" w:cs="Tahoma"/>
          <w:bCs/>
          <w:sz w:val="20"/>
        </w:rPr>
      </w:pPr>
      <w:r w:rsidRPr="00BD1EF3">
        <w:rPr>
          <w:rFonts w:ascii="Tahoma" w:hAnsi="Tahoma" w:cs="Tahoma"/>
          <w:bCs/>
          <w:i/>
          <w:sz w:val="20"/>
        </w:rPr>
        <w:t>Werknemer:</w:t>
      </w:r>
      <w:r w:rsidRPr="00BD1EF3">
        <w:rPr>
          <w:rFonts w:ascii="Tahoma" w:hAnsi="Tahoma" w:cs="Tahoma"/>
          <w:bCs/>
          <w:sz w:val="20"/>
        </w:rPr>
        <w:t xml:space="preserve"> degene de krachtens arbeidsovereenkomst naar burgerlijk recht verricht of heeft verricht dan wel de zelfstandige die anders dan uit dienstbetrekking arbeid verricht of heeft verricht.</w:t>
      </w:r>
    </w:p>
    <w:p w14:paraId="2E1B2112" w14:textId="77777777" w:rsidR="00B41A83" w:rsidRDefault="00B41A83" w:rsidP="00B41A83">
      <w:pPr>
        <w:widowControl w:val="0"/>
        <w:autoSpaceDE w:val="0"/>
        <w:autoSpaceDN w:val="0"/>
        <w:adjustRightInd w:val="0"/>
        <w:spacing w:line="280" w:lineRule="atLeast"/>
        <w:ind w:left="7"/>
        <w:jc w:val="both"/>
        <w:rPr>
          <w:rFonts w:ascii="Tahoma" w:hAnsi="Tahoma" w:cs="Tahoma"/>
          <w:b/>
          <w:bCs/>
          <w:sz w:val="20"/>
        </w:rPr>
      </w:pPr>
    </w:p>
    <w:p w14:paraId="61D0827C"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1.B Algemene bepalingen</w:t>
      </w:r>
    </w:p>
    <w:p w14:paraId="172AABD0"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5B0DF917" w14:textId="77777777" w:rsidR="00B41A83" w:rsidRPr="00BD1EF3" w:rsidRDefault="00B41A83" w:rsidP="00B41A83">
      <w:pPr>
        <w:pStyle w:val="Lijstalinea"/>
        <w:widowControl w:val="0"/>
        <w:numPr>
          <w:ilvl w:val="0"/>
          <w:numId w:val="43"/>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Deze regeling is van toepassing op alle betrokkenen en heeft als doel hen zonder gevaar voor hun (rechts)positie de mogelijkheid te bieden te rapporteren over een vermoeden van een misstand </w:t>
      </w:r>
      <w:r w:rsidRPr="00BD1EF3">
        <w:rPr>
          <w:rFonts w:ascii="Tahoma" w:hAnsi="Tahoma" w:cs="Tahoma"/>
          <w:sz w:val="20"/>
          <w:szCs w:val="20"/>
        </w:rPr>
        <w:lastRenderedPageBreak/>
        <w:t>binnen de organisatie.</w:t>
      </w:r>
    </w:p>
    <w:p w14:paraId="4219DFD7" w14:textId="77777777" w:rsidR="00B41A83" w:rsidRPr="00BD1EF3" w:rsidRDefault="00B41A83" w:rsidP="00B41A83">
      <w:pPr>
        <w:pStyle w:val="Lijstalinea"/>
        <w:widowControl w:val="0"/>
        <w:numPr>
          <w:ilvl w:val="0"/>
          <w:numId w:val="43"/>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Deze regeling is niet bedoeld voor klachten van persoonlijke aard van een betrokkene waarin andere regelgeving voorziet.</w:t>
      </w:r>
    </w:p>
    <w:p w14:paraId="75AD17F0" w14:textId="77777777" w:rsidR="00B41A83" w:rsidRPr="00BD1EF3" w:rsidRDefault="00B41A83" w:rsidP="00B41A83">
      <w:pPr>
        <w:pStyle w:val="Lijstalinea"/>
        <w:widowControl w:val="0"/>
        <w:numPr>
          <w:ilvl w:val="0"/>
          <w:numId w:val="43"/>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vermoeden van een misstand dient niet uit persoonlijk gewin te handelen. </w:t>
      </w:r>
    </w:p>
    <w:p w14:paraId="0C7C546B" w14:textId="77777777" w:rsidR="00B41A83" w:rsidRPr="00BD1EF3" w:rsidRDefault="00B41A83" w:rsidP="00B41A83">
      <w:pPr>
        <w:pStyle w:val="Lijstalinea"/>
        <w:widowControl w:val="0"/>
        <w:numPr>
          <w:ilvl w:val="0"/>
          <w:numId w:val="43"/>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misstand waar hijzelf bewust aan heeft deelgenomen, is niet gevrijwaard van sancties. </w:t>
      </w:r>
    </w:p>
    <w:p w14:paraId="7A53FC2D" w14:textId="77777777" w:rsidR="00B41A83" w:rsidRPr="00BD1EF3" w:rsidRDefault="00B41A83" w:rsidP="00B41A83">
      <w:pPr>
        <w:pStyle w:val="Geenafstand"/>
        <w:spacing w:line="280" w:lineRule="atLeast"/>
        <w:jc w:val="both"/>
        <w:rPr>
          <w:rFonts w:ascii="Tahoma" w:hAnsi="Tahoma" w:cs="Tahoma"/>
          <w:b/>
          <w:sz w:val="20"/>
        </w:rPr>
      </w:pPr>
    </w:p>
    <w:p w14:paraId="02FE40D0" w14:textId="77777777" w:rsidR="00B41A83" w:rsidRPr="00BD1EF3" w:rsidRDefault="00B41A83" w:rsidP="00B41A83">
      <w:pPr>
        <w:pStyle w:val="Geenafstand"/>
        <w:spacing w:line="280" w:lineRule="atLeast"/>
        <w:jc w:val="both"/>
        <w:rPr>
          <w:rFonts w:ascii="Tahoma" w:hAnsi="Tahoma" w:cs="Tahoma"/>
          <w:b/>
          <w:sz w:val="20"/>
        </w:rPr>
      </w:pPr>
      <w:r w:rsidRPr="00BD1EF3">
        <w:rPr>
          <w:rFonts w:ascii="Tahoma" w:hAnsi="Tahoma" w:cs="Tahoma"/>
          <w:b/>
          <w:sz w:val="20"/>
        </w:rPr>
        <w:t xml:space="preserve">Artikel 2 Informatie, advies en ondersteuning </w:t>
      </w:r>
    </w:p>
    <w:p w14:paraId="6F0925C7" w14:textId="77777777" w:rsidR="00B41A83" w:rsidRPr="00BD1EF3" w:rsidRDefault="00B41A83" w:rsidP="00B41A83">
      <w:pPr>
        <w:pStyle w:val="Geenafstand"/>
        <w:spacing w:line="280" w:lineRule="atLeast"/>
        <w:jc w:val="both"/>
        <w:rPr>
          <w:rFonts w:ascii="Tahoma" w:hAnsi="Tahoma" w:cs="Tahoma"/>
          <w:sz w:val="20"/>
        </w:rPr>
      </w:pPr>
    </w:p>
    <w:p w14:paraId="4CFB48AB" w14:textId="77777777" w:rsidR="00B41A83" w:rsidRPr="00BD1EF3" w:rsidRDefault="00B41A83" w:rsidP="00B41A83">
      <w:pPr>
        <w:pStyle w:val="Geenafstand"/>
        <w:numPr>
          <w:ilvl w:val="0"/>
          <w:numId w:val="44"/>
        </w:numPr>
        <w:spacing w:line="280" w:lineRule="atLeast"/>
        <w:jc w:val="both"/>
        <w:rPr>
          <w:rFonts w:ascii="Tahoma" w:hAnsi="Tahoma" w:cs="Tahoma"/>
          <w:sz w:val="20"/>
        </w:rPr>
      </w:pPr>
      <w:r w:rsidRPr="00BD1EF3">
        <w:rPr>
          <w:rFonts w:ascii="Tahoma" w:hAnsi="Tahoma" w:cs="Tahoma"/>
          <w:sz w:val="20"/>
        </w:rPr>
        <w:t>De betrokkene kan een adviseur in vertrouwen raadplegen over een vermoeden van een misstand.</w:t>
      </w:r>
    </w:p>
    <w:p w14:paraId="5F1F9EF6" w14:textId="77777777" w:rsidR="00B41A83" w:rsidRPr="00BD1EF3" w:rsidRDefault="00B41A83" w:rsidP="00B41A83">
      <w:pPr>
        <w:pStyle w:val="Geenafstand"/>
        <w:numPr>
          <w:ilvl w:val="0"/>
          <w:numId w:val="44"/>
        </w:numPr>
        <w:spacing w:line="280" w:lineRule="atLeast"/>
        <w:jc w:val="both"/>
        <w:rPr>
          <w:rFonts w:ascii="Tahoma" w:hAnsi="Tahoma" w:cs="Tahoma"/>
          <w:sz w:val="20"/>
        </w:rPr>
      </w:pPr>
      <w:r w:rsidRPr="00BD1EF3">
        <w:rPr>
          <w:rFonts w:ascii="Tahoma" w:hAnsi="Tahoma" w:cs="Tahoma"/>
          <w:sz w:val="20"/>
        </w:rPr>
        <w:t>In overeenstemming met lid 1 kan de betrokkene de vertrouwenspersoon verzoeken om informatie, advies en ondersteuning inzake het vermoeden van een misstand.</w:t>
      </w:r>
    </w:p>
    <w:p w14:paraId="5B223136" w14:textId="77777777" w:rsidR="00B41A83" w:rsidRPr="00BD1EF3" w:rsidRDefault="00B41A83" w:rsidP="00B41A83">
      <w:pPr>
        <w:pStyle w:val="Geenafstand"/>
        <w:numPr>
          <w:ilvl w:val="0"/>
          <w:numId w:val="44"/>
        </w:numPr>
        <w:spacing w:line="280" w:lineRule="atLeast"/>
        <w:jc w:val="both"/>
        <w:rPr>
          <w:rFonts w:ascii="Tahoma" w:hAnsi="Tahoma" w:cs="Tahoma"/>
          <w:sz w:val="20"/>
        </w:rPr>
      </w:pPr>
      <w:r w:rsidRPr="00BD1EF3">
        <w:rPr>
          <w:rFonts w:ascii="Tahoma" w:hAnsi="Tahoma" w:cs="Tahoma"/>
          <w:sz w:val="20"/>
        </w:rPr>
        <w:t>In overeenstemming met lid 1 kan de werknemer ook het Huis verzoeken om informatie, advies en ondersteuning inzake het vermoeden van een misstand.</w:t>
      </w:r>
    </w:p>
    <w:p w14:paraId="49C6C965"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43EFDBC6"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3 Interne melding</w:t>
      </w:r>
    </w:p>
    <w:p w14:paraId="63CF197D"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1B11B318" w14:textId="77777777" w:rsidR="00B41A83" w:rsidRPr="00BD1EF3" w:rsidRDefault="00B41A83" w:rsidP="00B41A83">
      <w:pPr>
        <w:widowControl w:val="0"/>
        <w:numPr>
          <w:ilvl w:val="0"/>
          <w:numId w:val="3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Tenzij sprake is van een uitzonderingsgrond als bedoeld in artikel 10 lid 2, meldt betrokkene een vermoeden van een misstand intern:</w:t>
      </w:r>
    </w:p>
    <w:p w14:paraId="11105BAA" w14:textId="77777777" w:rsidR="00B41A83" w:rsidRPr="00BD1EF3" w:rsidRDefault="00B41A83" w:rsidP="00B41A83">
      <w:pPr>
        <w:pStyle w:val="Lijstalinea"/>
        <w:widowControl w:val="0"/>
        <w:numPr>
          <w:ilvl w:val="0"/>
          <w:numId w:val="27"/>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szCs w:val="20"/>
        </w:rPr>
        <w:t xml:space="preserve">bij het bevoegd gezag of, </w:t>
      </w:r>
    </w:p>
    <w:p w14:paraId="3B994839" w14:textId="77777777" w:rsidR="00B41A83" w:rsidRPr="00BD1EF3" w:rsidRDefault="00B41A83" w:rsidP="00B41A83">
      <w:pPr>
        <w:pStyle w:val="Lijstalinea"/>
        <w:widowControl w:val="0"/>
        <w:numPr>
          <w:ilvl w:val="0"/>
          <w:numId w:val="27"/>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 xml:space="preserve">indien het vermoeden van een misstand het bevoegd gezag </w:t>
      </w:r>
      <w:r>
        <w:rPr>
          <w:rFonts w:ascii="Tahoma" w:hAnsi="Tahoma" w:cs="Tahoma"/>
          <w:sz w:val="20"/>
        </w:rPr>
        <w:t xml:space="preserve">aangaat: </w:t>
      </w:r>
      <w:r w:rsidRPr="00BD1EF3">
        <w:rPr>
          <w:rFonts w:ascii="Tahoma" w:hAnsi="Tahoma" w:cs="Tahoma"/>
          <w:sz w:val="20"/>
        </w:rPr>
        <w:t xml:space="preserve">bij de toezichthouder, </w:t>
      </w:r>
    </w:p>
    <w:p w14:paraId="027486C8" w14:textId="77777777" w:rsidR="00B41A83" w:rsidRPr="00BD1EF3" w:rsidRDefault="00B41A83" w:rsidP="00B41A83">
      <w:pPr>
        <w:pStyle w:val="Lijstalinea"/>
        <w:widowControl w:val="0"/>
        <w:numPr>
          <w:ilvl w:val="0"/>
          <w:numId w:val="27"/>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 xml:space="preserve">bij </w:t>
      </w:r>
      <w:r>
        <w:rPr>
          <w:rFonts w:ascii="Tahoma" w:hAnsi="Tahoma" w:cs="Tahoma"/>
          <w:sz w:val="20"/>
        </w:rPr>
        <w:t>de</w:t>
      </w:r>
      <w:r w:rsidRPr="00BD1EF3">
        <w:rPr>
          <w:rFonts w:ascii="Tahoma" w:hAnsi="Tahoma" w:cs="Tahoma"/>
          <w:sz w:val="20"/>
        </w:rPr>
        <w:t xml:space="preserve"> vertrouwenspersoon. Melding aan de vertrouwenspersoon kan ook plaatsvinden naast een melding aan het bevoegd gezag of de toezichthouder. </w:t>
      </w:r>
    </w:p>
    <w:p w14:paraId="4B63527D" w14:textId="77777777" w:rsidR="00B41A83" w:rsidRPr="00BD1EF3" w:rsidRDefault="00B41A83" w:rsidP="00B41A83">
      <w:pPr>
        <w:widowControl w:val="0"/>
        <w:numPr>
          <w:ilvl w:val="0"/>
          <w:numId w:val="3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betrokkene het vermoeden van een misstand alleen bij de vertrouwenspersoon heeft gemeld, brengt deze het bevoegd gezag of de toezichthouder op de hoogte met vermelding van de datum waarop de melding ontvangen is zij het op een met betrokkene overeengekomen wijze en tijdstip. Tevens bepalen de vertrouwenspersoon en betrokkene of de identiteit van betrokkene geheim zal blijven. </w:t>
      </w:r>
    </w:p>
    <w:p w14:paraId="3C606938" w14:textId="77777777" w:rsidR="00B41A83" w:rsidRPr="00BD1EF3" w:rsidRDefault="00B41A83" w:rsidP="00B41A83">
      <w:pPr>
        <w:widowControl w:val="0"/>
        <w:numPr>
          <w:ilvl w:val="0"/>
          <w:numId w:val="3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of de toezichthouder legt de melding met de datum waarop deze</w:t>
      </w:r>
      <w:r w:rsidRPr="00BD1EF3">
        <w:rPr>
          <w:rFonts w:ascii="Tahoma" w:hAnsi="Tahoma" w:cs="Tahoma"/>
          <w:b/>
          <w:bCs/>
          <w:sz w:val="20"/>
        </w:rPr>
        <w:t xml:space="preserve"> </w:t>
      </w:r>
      <w:r w:rsidRPr="00BD1EF3">
        <w:rPr>
          <w:rFonts w:ascii="Tahoma" w:hAnsi="Tahoma" w:cs="Tahoma"/>
          <w:sz w:val="20"/>
        </w:rPr>
        <w:t>ontvangen is schriftelijk vast en laat die vastlegging voor akkoord tekenen door betrokkene dan wel de vertrouwenspersoon, die daarvan een gewaarmerkt afschrift ontvangt.</w:t>
      </w:r>
    </w:p>
    <w:p w14:paraId="59B151B9" w14:textId="77777777" w:rsidR="00B41A83" w:rsidRPr="00BD1EF3" w:rsidRDefault="00B41A83" w:rsidP="00B41A83">
      <w:pPr>
        <w:widowControl w:val="0"/>
        <w:numPr>
          <w:ilvl w:val="0"/>
          <w:numId w:val="3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betrokkene die het vermoeden van een misstand meldt en degene(n) aan wie het vermoeden van de misstand is gemeld, behandelt de melding vertrouwelijk. Zonder toestemming van het bevoegd gezag of de toezichthouder wordt geen informatie verschaft aan derden binnen of buiten de organisatie. Bij het verschaffen van informatie zal de identiteit van de betrokkene niet worden genoemd en zal de informatie zo worden verstrekt dat de anonimiteit van de betrokkene zo veel mogelijk gewaarborgd blijft.</w:t>
      </w:r>
    </w:p>
    <w:p w14:paraId="029911E2"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454FBF40"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1F68E447" w14:textId="77777777" w:rsidR="00B41A83" w:rsidRPr="00BD1EF3" w:rsidRDefault="00B41A83" w:rsidP="00B41A83">
      <w:pPr>
        <w:widowControl w:val="0"/>
        <w:autoSpaceDE w:val="0"/>
        <w:autoSpaceDN w:val="0"/>
        <w:adjustRightInd w:val="0"/>
        <w:spacing w:line="280" w:lineRule="atLeast"/>
        <w:jc w:val="both"/>
        <w:rPr>
          <w:rFonts w:ascii="Tahoma" w:hAnsi="Tahoma" w:cs="Tahoma"/>
          <w:b/>
          <w:sz w:val="20"/>
        </w:rPr>
      </w:pPr>
      <w:r w:rsidRPr="00BD1EF3">
        <w:rPr>
          <w:rFonts w:ascii="Tahoma" w:hAnsi="Tahoma" w:cs="Tahoma"/>
          <w:b/>
          <w:sz w:val="20"/>
        </w:rPr>
        <w:t>Artikel 4 Externe melding door werknemer</w:t>
      </w:r>
    </w:p>
    <w:p w14:paraId="160A4319" w14:textId="77777777" w:rsidR="00B41A83" w:rsidRPr="00BD1EF3" w:rsidRDefault="00B41A83" w:rsidP="00B41A83">
      <w:pPr>
        <w:widowControl w:val="0"/>
        <w:autoSpaceDE w:val="0"/>
        <w:autoSpaceDN w:val="0"/>
        <w:adjustRightInd w:val="0"/>
        <w:spacing w:line="280" w:lineRule="atLeast"/>
        <w:jc w:val="both"/>
        <w:rPr>
          <w:rFonts w:ascii="Tahoma" w:hAnsi="Tahoma" w:cs="Tahoma"/>
          <w:bCs/>
          <w:sz w:val="20"/>
        </w:rPr>
      </w:pPr>
    </w:p>
    <w:p w14:paraId="22BCDE9D" w14:textId="77777777" w:rsidR="00B41A83" w:rsidRPr="00BD1EF3" w:rsidRDefault="00B41A83" w:rsidP="00B41A83">
      <w:pPr>
        <w:widowControl w:val="0"/>
        <w:autoSpaceDE w:val="0"/>
        <w:autoSpaceDN w:val="0"/>
        <w:adjustRightInd w:val="0"/>
        <w:spacing w:line="280" w:lineRule="atLeast"/>
        <w:jc w:val="both"/>
        <w:rPr>
          <w:rFonts w:ascii="Tahoma" w:hAnsi="Tahoma" w:cs="Tahoma"/>
          <w:bCs/>
          <w:sz w:val="20"/>
        </w:rPr>
      </w:pPr>
      <w:r w:rsidRPr="00BD1EF3">
        <w:rPr>
          <w:rFonts w:ascii="Tahoma" w:hAnsi="Tahoma" w:cs="Tahoma"/>
          <w:bCs/>
          <w:sz w:val="20"/>
        </w:rPr>
        <w:t>De werknemer kan een vermoeden van een misstand rechtstreeks melden bij het Huis, indien van hem in redelijkheid niet gevraagd kan worden dat hij het vermoeden van een misstand bij de eigen organisatie meldt.</w:t>
      </w:r>
    </w:p>
    <w:p w14:paraId="42B50048"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34D89C6E"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 </w:t>
      </w:r>
    </w:p>
    <w:p w14:paraId="74F5EC5E" w14:textId="77777777" w:rsidR="00B41A83" w:rsidRDefault="00B41A83" w:rsidP="00B41A83">
      <w:pPr>
        <w:widowControl w:val="0"/>
        <w:autoSpaceDE w:val="0"/>
        <w:autoSpaceDN w:val="0"/>
        <w:adjustRightInd w:val="0"/>
        <w:spacing w:line="280" w:lineRule="atLeast"/>
        <w:jc w:val="both"/>
        <w:rPr>
          <w:rFonts w:ascii="Tahoma" w:hAnsi="Tahoma" w:cs="Tahoma"/>
          <w:b/>
          <w:bCs/>
          <w:sz w:val="20"/>
        </w:rPr>
      </w:pPr>
      <w:r w:rsidRPr="00BD1EF3">
        <w:rPr>
          <w:rFonts w:ascii="Tahoma" w:hAnsi="Tahoma" w:cs="Tahoma"/>
          <w:b/>
          <w:bCs/>
          <w:sz w:val="20"/>
        </w:rPr>
        <w:t xml:space="preserve">Artikel 5 Commissie Integriteitsvraagstukken Reformatorisch </w:t>
      </w:r>
      <w:r>
        <w:rPr>
          <w:rFonts w:ascii="Tahoma" w:hAnsi="Tahoma" w:cs="Tahoma"/>
          <w:b/>
          <w:bCs/>
          <w:sz w:val="20"/>
        </w:rPr>
        <w:t>Primair</w:t>
      </w:r>
      <w:r w:rsidRPr="00BD1EF3">
        <w:rPr>
          <w:rFonts w:ascii="Tahoma" w:hAnsi="Tahoma" w:cs="Tahoma"/>
          <w:b/>
          <w:bCs/>
          <w:sz w:val="20"/>
        </w:rPr>
        <w:t xml:space="preserve"> Onderwijs</w:t>
      </w:r>
    </w:p>
    <w:p w14:paraId="1979CC22" w14:textId="77777777" w:rsidR="00B41A83" w:rsidRPr="00BD1EF3" w:rsidRDefault="00B41A83" w:rsidP="00B41A83">
      <w:pPr>
        <w:widowControl w:val="0"/>
        <w:autoSpaceDE w:val="0"/>
        <w:autoSpaceDN w:val="0"/>
        <w:adjustRightInd w:val="0"/>
        <w:spacing w:line="280" w:lineRule="atLeast"/>
        <w:jc w:val="both"/>
        <w:rPr>
          <w:rFonts w:ascii="Tahoma" w:hAnsi="Tahoma" w:cs="Tahoma"/>
          <w:b/>
          <w:bCs/>
          <w:sz w:val="20"/>
        </w:rPr>
      </w:pPr>
    </w:p>
    <w:p w14:paraId="70990319" w14:textId="77777777" w:rsidR="00B41A83" w:rsidRPr="00BD1EF3" w:rsidRDefault="00B41A83" w:rsidP="00B41A83">
      <w:pPr>
        <w:pStyle w:val="Lijstalinea"/>
        <w:widowControl w:val="0"/>
        <w:numPr>
          <w:ilvl w:val="0"/>
          <w:numId w:val="47"/>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 xml:space="preserve">De werkwijze van de Commissie Integriteitsvraagstukken Reformatorisch </w:t>
      </w:r>
      <w:r>
        <w:rPr>
          <w:rFonts w:ascii="Tahoma" w:hAnsi="Tahoma" w:cs="Tahoma"/>
          <w:sz w:val="20"/>
        </w:rPr>
        <w:t xml:space="preserve">Primair </w:t>
      </w:r>
      <w:r w:rsidRPr="00BD1EF3">
        <w:rPr>
          <w:rFonts w:ascii="Tahoma" w:hAnsi="Tahoma" w:cs="Tahoma"/>
          <w:sz w:val="20"/>
        </w:rPr>
        <w:t xml:space="preserve">Onderwijs (verder: </w:t>
      </w:r>
      <w:r w:rsidRPr="00BD1EF3">
        <w:rPr>
          <w:rFonts w:ascii="Tahoma" w:hAnsi="Tahoma" w:cs="Tahoma"/>
          <w:sz w:val="20"/>
        </w:rPr>
        <w:lastRenderedPageBreak/>
        <w:t>de commissie) wordt vastgelegd in een reglement, evenals de regels voor benoeming, schorsing en ontslag van de voorzitter en de leden van de commissie.</w:t>
      </w:r>
    </w:p>
    <w:p w14:paraId="3918D29D" w14:textId="77777777" w:rsidR="00B41A83" w:rsidRPr="00BD1EF3" w:rsidRDefault="00B41A83" w:rsidP="00B41A83">
      <w:pPr>
        <w:pStyle w:val="Lijstalinea"/>
        <w:widowControl w:val="0"/>
        <w:numPr>
          <w:ilvl w:val="0"/>
          <w:numId w:val="47"/>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0854A6AF" w14:textId="77777777" w:rsidR="00B41A83" w:rsidRPr="00BD1EF3" w:rsidRDefault="00B41A83" w:rsidP="00B41A83">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 xml:space="preserve">Commissie Integriteitsvraagstukken Ref. </w:t>
      </w:r>
      <w:r>
        <w:rPr>
          <w:rFonts w:ascii="Tahoma" w:hAnsi="Tahoma" w:cs="Tahoma"/>
          <w:sz w:val="20"/>
        </w:rPr>
        <w:t>PO</w:t>
      </w:r>
    </w:p>
    <w:p w14:paraId="328B2C4A" w14:textId="77777777" w:rsidR="00B41A83" w:rsidRPr="00BD1EF3" w:rsidRDefault="00B41A83" w:rsidP="00B41A83">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p/a Vereniging voor Gereformeerd Schoolonderwijs</w:t>
      </w:r>
    </w:p>
    <w:p w14:paraId="202EECE0" w14:textId="77777777" w:rsidR="00B41A83" w:rsidRPr="00BD1EF3" w:rsidRDefault="00B41A83" w:rsidP="00B41A83">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Postbus 5</w:t>
      </w:r>
    </w:p>
    <w:p w14:paraId="4342069F" w14:textId="77777777" w:rsidR="00B41A83" w:rsidRPr="00BD1EF3" w:rsidRDefault="00B41A83" w:rsidP="00B41A83">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2980 AA Ridderkerk</w:t>
      </w:r>
    </w:p>
    <w:p w14:paraId="5704D2E8" w14:textId="77777777" w:rsidR="00B41A83" w:rsidRPr="00BD1EF3" w:rsidRDefault="00B41A83" w:rsidP="00B41A83">
      <w:pPr>
        <w:pStyle w:val="Lijstalinea"/>
        <w:widowControl w:val="0"/>
        <w:numPr>
          <w:ilvl w:val="0"/>
          <w:numId w:val="47"/>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 xml:space="preserve">De voorzitter en de leden van de commissie mogen in ieder geval: </w:t>
      </w:r>
    </w:p>
    <w:p w14:paraId="6F1C039E" w14:textId="77777777" w:rsidR="00B41A83" w:rsidRPr="00BD1EF3" w:rsidRDefault="00B41A83" w:rsidP="00B41A83">
      <w:pPr>
        <w:pStyle w:val="Lijstalinea"/>
        <w:widowControl w:val="0"/>
        <w:numPr>
          <w:ilvl w:val="0"/>
          <w:numId w:val="48"/>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deel uitmaken van het bevoegd gezag; </w:t>
      </w:r>
    </w:p>
    <w:p w14:paraId="20C3AF79" w14:textId="77777777" w:rsidR="00B41A83" w:rsidRPr="00BD1EF3" w:rsidRDefault="00B41A83" w:rsidP="00B41A83">
      <w:pPr>
        <w:pStyle w:val="Lijstalinea"/>
        <w:widowControl w:val="0"/>
        <w:numPr>
          <w:ilvl w:val="0"/>
          <w:numId w:val="48"/>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toezichthouder zijn bij het bevoegd gezag; </w:t>
      </w:r>
    </w:p>
    <w:p w14:paraId="0E2F7E2A" w14:textId="77777777" w:rsidR="00B41A83" w:rsidRPr="00BD1EF3" w:rsidRDefault="00B41A83" w:rsidP="00B41A83">
      <w:pPr>
        <w:pStyle w:val="Lijstalinea"/>
        <w:widowControl w:val="0"/>
        <w:numPr>
          <w:ilvl w:val="0"/>
          <w:numId w:val="48"/>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niet werkzaam zijn voor of bij het bevoegd gezag; </w:t>
      </w:r>
    </w:p>
    <w:p w14:paraId="4F07D67E" w14:textId="77777777" w:rsidR="00B41A83" w:rsidRPr="00BD1EF3" w:rsidRDefault="00B41A83" w:rsidP="00B41A83">
      <w:pPr>
        <w:pStyle w:val="Lijstalinea"/>
        <w:widowControl w:val="0"/>
        <w:numPr>
          <w:ilvl w:val="0"/>
          <w:numId w:val="48"/>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7ABC7351" w14:textId="77777777" w:rsidR="00B41A83" w:rsidRDefault="00B41A83" w:rsidP="00B41A83">
      <w:pPr>
        <w:widowControl w:val="0"/>
        <w:autoSpaceDE w:val="0"/>
        <w:autoSpaceDN w:val="0"/>
        <w:adjustRightInd w:val="0"/>
        <w:spacing w:line="280" w:lineRule="atLeast"/>
        <w:jc w:val="both"/>
        <w:rPr>
          <w:rFonts w:ascii="Tahoma" w:hAnsi="Tahoma" w:cs="Tahoma"/>
          <w:sz w:val="20"/>
        </w:rPr>
      </w:pPr>
    </w:p>
    <w:p w14:paraId="2AA0D892"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77A13379"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6 Ontvankelijkheid</w:t>
      </w:r>
    </w:p>
    <w:p w14:paraId="7E40B25F"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1307EBD0" w14:textId="77777777" w:rsidR="00B41A83" w:rsidRPr="00BD1EF3" w:rsidRDefault="00B41A83" w:rsidP="00B41A83">
      <w:pPr>
        <w:widowControl w:val="0"/>
        <w:numPr>
          <w:ilvl w:val="0"/>
          <w:numId w:val="31"/>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De commissie verklaart de melding van een vermoeden van een misstand niet-ontvankelijk indien naar het oordeel van de commissie er kennelijk geen sprake is van een misstand als bedoeld in deze regeling. </w:t>
      </w:r>
    </w:p>
    <w:p w14:paraId="31EE436F" w14:textId="77777777" w:rsidR="00B41A83" w:rsidRPr="00BD1EF3" w:rsidRDefault="00B41A83" w:rsidP="00B41A83">
      <w:pPr>
        <w:widowControl w:val="0"/>
        <w:numPr>
          <w:ilvl w:val="0"/>
          <w:numId w:val="31"/>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de melding niet-ontvankelijk verklaard wordt, brengt de commissie het bevoegd gezag, de toezichthouder en betrokkene die een vermoeden van een misstand intern heeft gemeld, hiervan schriftelijk en met redenen omkleed op de hoogte. </w:t>
      </w:r>
    </w:p>
    <w:p w14:paraId="1C9DCDFF"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6CF46CDA"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7800D064"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7 Onderzoek</w:t>
      </w:r>
    </w:p>
    <w:p w14:paraId="52478D6E"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1E098D9A" w14:textId="77777777" w:rsidR="00B41A83" w:rsidRPr="00BD1EF3" w:rsidRDefault="00B41A83" w:rsidP="00B41A83">
      <w:pPr>
        <w:widowControl w:val="0"/>
        <w:numPr>
          <w:ilvl w:val="0"/>
          <w:numId w:val="32"/>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een vermoeden van een misstand is de commissie bevoegd namens het bevoegd gezag alle inlichtingen in te winnen die zij voor de vorming van haar advies nodig acht. Het bevoegd gezag is verplicht de commissie de gevraagde informatie te verschaffen, dan wel behulpzaam te zijn bij de verwerving ervan. </w:t>
      </w:r>
    </w:p>
    <w:p w14:paraId="6F8A2236" w14:textId="77777777" w:rsidR="00B41A83" w:rsidRPr="00BD1EF3" w:rsidRDefault="00B41A83" w:rsidP="00B41A83">
      <w:pPr>
        <w:widowControl w:val="0"/>
        <w:numPr>
          <w:ilvl w:val="0"/>
          <w:numId w:val="32"/>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een vermoeden van een misstand kan de commissie in ieder geval het bevoegd gezag horen. </w:t>
      </w:r>
    </w:p>
    <w:p w14:paraId="214F6695" w14:textId="77777777" w:rsidR="00B41A83" w:rsidRPr="00BD1EF3" w:rsidRDefault="00B41A83" w:rsidP="00B41A83">
      <w:pPr>
        <w:widowControl w:val="0"/>
        <w:numPr>
          <w:ilvl w:val="0"/>
          <w:numId w:val="32"/>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Indien de inhoud van de door het bevoegd gezag verstrekte informatie - vanwege het</w:t>
      </w:r>
      <w:r w:rsidRPr="00BD1EF3">
        <w:rPr>
          <w:rFonts w:ascii="Tahoma" w:hAnsi="Tahoma" w:cs="Tahoma"/>
          <w:b/>
          <w:bCs/>
          <w:sz w:val="20"/>
        </w:rPr>
        <w:t xml:space="preserve"> </w:t>
      </w:r>
      <w:r w:rsidRPr="00BD1EF3">
        <w:rPr>
          <w:rFonts w:ascii="Tahoma" w:hAnsi="Tahoma" w:cs="Tahoma"/>
          <w:sz w:val="20"/>
        </w:rPr>
        <w:t xml:space="preserve">vertrouwelijke karakter - uitsluitend ter kennisneming van de commissie dient te blijven, wordt dit aan de commissie mede gedeeld. </w:t>
      </w:r>
    </w:p>
    <w:p w14:paraId="7E1F2A6E" w14:textId="77777777" w:rsidR="00B41A83" w:rsidRPr="00BD1EF3" w:rsidRDefault="00B41A83" w:rsidP="00B41A83">
      <w:pPr>
        <w:widowControl w:val="0"/>
        <w:numPr>
          <w:ilvl w:val="0"/>
          <w:numId w:val="32"/>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0CABC908" w14:textId="77777777" w:rsidR="00B41A83" w:rsidRDefault="00B41A83" w:rsidP="00B41A83">
      <w:pPr>
        <w:widowControl w:val="0"/>
        <w:numPr>
          <w:ilvl w:val="0"/>
          <w:numId w:val="32"/>
        </w:numPr>
        <w:tabs>
          <w:tab w:val="clear" w:pos="727"/>
          <w:tab w:val="num" w:pos="367"/>
        </w:tabs>
        <w:autoSpaceDE w:val="0"/>
        <w:autoSpaceDN w:val="0"/>
        <w:adjustRightInd w:val="0"/>
        <w:spacing w:line="280" w:lineRule="atLeast"/>
        <w:ind w:left="367"/>
        <w:jc w:val="both"/>
        <w:rPr>
          <w:rFonts w:ascii="Tahoma" w:hAnsi="Tahoma" w:cs="Tahoma"/>
          <w:sz w:val="20"/>
        </w:rPr>
      </w:pPr>
      <w:r w:rsidRPr="00BD1EF3">
        <w:rPr>
          <w:rFonts w:ascii="Tahoma" w:hAnsi="Tahoma" w:cs="Tahoma"/>
          <w:sz w:val="20"/>
        </w:rPr>
        <w:t>Alle in redelijkheid door de commissie te maken kosten worden door het bevoegd gezag vergoed.</w:t>
      </w:r>
    </w:p>
    <w:p w14:paraId="71D42174" w14:textId="77777777" w:rsidR="009B1B57" w:rsidRPr="00BD1EF3" w:rsidRDefault="009B1B57" w:rsidP="009B1B57">
      <w:pPr>
        <w:widowControl w:val="0"/>
        <w:autoSpaceDE w:val="0"/>
        <w:autoSpaceDN w:val="0"/>
        <w:adjustRightInd w:val="0"/>
        <w:spacing w:line="280" w:lineRule="atLeast"/>
        <w:ind w:left="367"/>
        <w:jc w:val="both"/>
        <w:rPr>
          <w:rFonts w:ascii="Tahoma" w:hAnsi="Tahoma" w:cs="Tahoma"/>
          <w:sz w:val="20"/>
        </w:rPr>
      </w:pPr>
    </w:p>
    <w:p w14:paraId="354BF02E"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8 Advies</w:t>
      </w:r>
    </w:p>
    <w:p w14:paraId="3D49D7FF"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54F02FD2" w14:textId="77777777" w:rsidR="00B41A83" w:rsidRPr="00BD1EF3" w:rsidRDefault="00B41A83" w:rsidP="00B41A83">
      <w:pPr>
        <w:widowControl w:val="0"/>
        <w:numPr>
          <w:ilvl w:val="0"/>
          <w:numId w:val="33"/>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het gemeld vermoeden van een misstand ontvankelijk is, legt de commissie zo</w:t>
      </w:r>
      <w:r w:rsidRPr="00BD1EF3">
        <w:rPr>
          <w:rFonts w:ascii="Tahoma" w:hAnsi="Tahoma" w:cs="Tahoma"/>
          <w:b/>
          <w:bCs/>
          <w:sz w:val="20"/>
        </w:rPr>
        <w:t xml:space="preserve"> </w:t>
      </w:r>
      <w:r w:rsidRPr="00BD1EF3">
        <w:rPr>
          <w:rFonts w:ascii="Tahoma" w:hAnsi="Tahoma" w:cs="Tahoma"/>
          <w:sz w:val="20"/>
        </w:rPr>
        <w:t>spoedig mogelijk, doch uiterlijk binnen acht weken na ontvangst van de melding haar bevindingen betreffende de melding van een vermoeden van een misstand vast in een advies gericht aan het bevoegd gezag of de toezichthouder.</w:t>
      </w:r>
    </w:p>
    <w:p w14:paraId="1D67717E" w14:textId="77777777" w:rsidR="00B41A83" w:rsidRPr="00BD1EF3" w:rsidRDefault="00B41A83" w:rsidP="00B41A83">
      <w:pPr>
        <w:widowControl w:val="0"/>
        <w:numPr>
          <w:ilvl w:val="0"/>
          <w:numId w:val="33"/>
        </w:numPr>
        <w:autoSpaceDE w:val="0"/>
        <w:autoSpaceDN w:val="0"/>
        <w:adjustRightInd w:val="0"/>
        <w:spacing w:line="280" w:lineRule="atLeast"/>
        <w:jc w:val="both"/>
        <w:rPr>
          <w:rFonts w:ascii="Tahoma" w:hAnsi="Tahoma" w:cs="Tahoma"/>
          <w:sz w:val="20"/>
        </w:rPr>
      </w:pPr>
      <w:r w:rsidRPr="00BD1EF3">
        <w:rPr>
          <w:rFonts w:ascii="Tahoma" w:hAnsi="Tahoma" w:cs="Tahoma"/>
          <w:sz w:val="20"/>
        </w:rPr>
        <w:t>In bijzondere gevallen kan deze termijn worden verlengd met maximaal acht weken.</w:t>
      </w:r>
    </w:p>
    <w:p w14:paraId="2479BF53" w14:textId="77777777" w:rsidR="00B41A83" w:rsidRPr="00BD1EF3" w:rsidRDefault="00B41A83" w:rsidP="00B41A83">
      <w:pPr>
        <w:widowControl w:val="0"/>
        <w:numPr>
          <w:ilvl w:val="0"/>
          <w:numId w:val="33"/>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het gemelde vermoeden van een misstand niet-ontvankelijk is, zal de commissie de melding niet in behandeling nemen en dit in het advies vastleggen. </w:t>
      </w:r>
    </w:p>
    <w:p w14:paraId="6DAD90BE" w14:textId="77777777" w:rsidR="00B41A83" w:rsidRPr="00BD1EF3" w:rsidRDefault="00B41A83" w:rsidP="00B41A83">
      <w:pPr>
        <w:widowControl w:val="0"/>
        <w:numPr>
          <w:ilvl w:val="0"/>
          <w:numId w:val="33"/>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de aan de commissie verstrekte informatie en de ter zake geldende wettelijke </w:t>
      </w:r>
      <w:r w:rsidRPr="00BD1EF3">
        <w:rPr>
          <w:rFonts w:ascii="Tahoma" w:hAnsi="Tahoma" w:cs="Tahoma"/>
          <w:sz w:val="20"/>
        </w:rPr>
        <w:lastRenderedPageBreak/>
        <w:t>bepalingen verstrekt aan de betrokkene, het bevoegd gezag en de toezichthouder.</w:t>
      </w:r>
      <w:r w:rsidRPr="00BD1EF3">
        <w:rPr>
          <w:rFonts w:ascii="Tahoma" w:hAnsi="Tahoma" w:cs="Tahoma"/>
          <w:color w:val="FF0000"/>
          <w:sz w:val="20"/>
        </w:rPr>
        <w:t xml:space="preserve"> </w:t>
      </w:r>
    </w:p>
    <w:p w14:paraId="3696AEB4" w14:textId="77777777" w:rsidR="00B41A83" w:rsidRPr="00BD1EF3" w:rsidRDefault="00B41A83" w:rsidP="00B41A83">
      <w:pPr>
        <w:widowControl w:val="0"/>
        <w:numPr>
          <w:ilvl w:val="0"/>
          <w:numId w:val="33"/>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de situatie daarom vraagt kunnen, vooruitlopend op het advies, noodmaatregelen</w:t>
      </w:r>
      <w:r w:rsidRPr="00BD1EF3">
        <w:rPr>
          <w:rFonts w:ascii="Tahoma" w:hAnsi="Tahoma" w:cs="Tahoma"/>
          <w:b/>
          <w:bCs/>
          <w:sz w:val="20"/>
        </w:rPr>
        <w:t xml:space="preserve"> </w:t>
      </w:r>
      <w:r w:rsidRPr="00BD1EF3">
        <w:rPr>
          <w:rFonts w:ascii="Tahoma" w:hAnsi="Tahoma" w:cs="Tahoma"/>
          <w:sz w:val="20"/>
        </w:rPr>
        <w:t>worden getroffen om een noodsituatie op te heffen.</w:t>
      </w:r>
    </w:p>
    <w:p w14:paraId="4DB8F599" w14:textId="77777777" w:rsidR="00B41A83" w:rsidRDefault="00B41A83" w:rsidP="00B41A83">
      <w:pPr>
        <w:spacing w:line="280" w:lineRule="atLeast"/>
        <w:rPr>
          <w:rFonts w:ascii="Tahoma" w:hAnsi="Tahoma" w:cs="Tahoma"/>
          <w:b/>
          <w:bCs/>
          <w:sz w:val="20"/>
        </w:rPr>
      </w:pPr>
    </w:p>
    <w:p w14:paraId="4BB2CFFD" w14:textId="77777777" w:rsidR="00B41A83" w:rsidRPr="00BD1EF3" w:rsidRDefault="00B41A83" w:rsidP="00B41A83">
      <w:pPr>
        <w:spacing w:line="280" w:lineRule="atLeast"/>
        <w:rPr>
          <w:rFonts w:ascii="Tahoma" w:hAnsi="Tahoma" w:cs="Tahoma"/>
          <w:b/>
          <w:bCs/>
          <w:sz w:val="20"/>
        </w:rPr>
      </w:pPr>
    </w:p>
    <w:p w14:paraId="25E1FBD9"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drawing>
          <wp:anchor distT="0" distB="0" distL="114300" distR="114300" simplePos="0" relativeHeight="251658240" behindDoc="1" locked="0" layoutInCell="0" allowOverlap="1" wp14:anchorId="5A7183E2" wp14:editId="4FDD639F">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F3">
        <w:rPr>
          <w:rFonts w:ascii="Tahoma" w:hAnsi="Tahoma" w:cs="Tahoma"/>
          <w:noProof/>
          <w:sz w:val="20"/>
        </w:rPr>
        <w:drawing>
          <wp:anchor distT="0" distB="0" distL="114300" distR="114300" simplePos="0" relativeHeight="251656192" behindDoc="1" locked="0" layoutInCell="0" allowOverlap="1" wp14:anchorId="7B43A186" wp14:editId="6C989EEB">
            <wp:simplePos x="0" y="0"/>
            <wp:positionH relativeFrom="column">
              <wp:posOffset>3307715</wp:posOffset>
            </wp:positionH>
            <wp:positionV relativeFrom="paragraph">
              <wp:posOffset>1095375</wp:posOffset>
            </wp:positionV>
            <wp:extent cx="746760" cy="530860"/>
            <wp:effectExtent l="0" t="0" r="0" b="2540"/>
            <wp:wrapNone/>
            <wp:docPr id="14"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F3">
        <w:rPr>
          <w:rFonts w:ascii="Tahoma" w:hAnsi="Tahoma" w:cs="Tahoma"/>
          <w:b/>
          <w:bCs/>
          <w:sz w:val="20"/>
        </w:rPr>
        <w:t>Artikel 9 Standpunt</w:t>
      </w:r>
    </w:p>
    <w:p w14:paraId="69876CA0"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0B5F2A31" w14:textId="77777777" w:rsidR="00B41A83" w:rsidRPr="00BD1EF3" w:rsidRDefault="00B41A83" w:rsidP="00B41A83">
      <w:pPr>
        <w:widowControl w:val="0"/>
        <w:numPr>
          <w:ilvl w:val="0"/>
          <w:numId w:val="2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Binnen vier weken na ontvangst van het advies van de commissie worden betrokkene en eventueel de vertrouwenspersoon evenals degene(n) op wie het vermoeden van een misstand betrekking heeft, door of namens het bevoegd gezag schriftelijk op de hoogte gebracht van een inhoudelijk standpunt betreffende het gemelde vermoeden van een misstand. Daarbij wordt aangegeven tot welke stappen de melding heeft geleid dan wel zal leiden. </w:t>
      </w:r>
    </w:p>
    <w:p w14:paraId="5CE25B23" w14:textId="77777777" w:rsidR="00B41A83" w:rsidRPr="00BD1EF3" w:rsidRDefault="00B41A83" w:rsidP="00B41A83">
      <w:pPr>
        <w:widowControl w:val="0"/>
        <w:numPr>
          <w:ilvl w:val="0"/>
          <w:numId w:val="2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betrokkene, de commissie en eventueel de vertrouwenspersoon. </w:t>
      </w:r>
    </w:p>
    <w:p w14:paraId="72CF3689" w14:textId="77777777" w:rsidR="00B41A83" w:rsidRPr="00BD1EF3" w:rsidRDefault="00B41A83" w:rsidP="00B41A83">
      <w:pPr>
        <w:widowControl w:val="0"/>
        <w:overflowPunct w:val="0"/>
        <w:autoSpaceDE w:val="0"/>
        <w:autoSpaceDN w:val="0"/>
        <w:adjustRightInd w:val="0"/>
        <w:spacing w:line="280" w:lineRule="atLeast"/>
        <w:jc w:val="both"/>
        <w:rPr>
          <w:rFonts w:ascii="Tahoma" w:hAnsi="Tahoma" w:cs="Tahoma"/>
          <w:sz w:val="20"/>
        </w:rPr>
      </w:pPr>
    </w:p>
    <w:p w14:paraId="126C2A65" w14:textId="77777777" w:rsidR="00B41A83" w:rsidRPr="00BD1EF3" w:rsidRDefault="00B41A83" w:rsidP="00B41A83">
      <w:pPr>
        <w:widowControl w:val="0"/>
        <w:autoSpaceDE w:val="0"/>
        <w:autoSpaceDN w:val="0"/>
        <w:adjustRightInd w:val="0"/>
        <w:spacing w:line="280" w:lineRule="atLeast"/>
        <w:jc w:val="both"/>
        <w:rPr>
          <w:rFonts w:ascii="Tahoma" w:hAnsi="Tahoma" w:cs="Tahoma"/>
          <w:b/>
          <w:bCs/>
          <w:sz w:val="20"/>
        </w:rPr>
      </w:pPr>
    </w:p>
    <w:p w14:paraId="5AA32BA6"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10 Melding aan een externe derde</w:t>
      </w:r>
    </w:p>
    <w:p w14:paraId="40CE59AB"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4752D135" w14:textId="77777777" w:rsidR="00B41A83" w:rsidRPr="00BD1EF3" w:rsidRDefault="00B41A83" w:rsidP="00B41A83">
      <w:pPr>
        <w:pStyle w:val="Lijstalinea"/>
        <w:widowControl w:val="0"/>
        <w:numPr>
          <w:ilvl w:val="0"/>
          <w:numId w:val="46"/>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Betrokkene kan het vermoeden van een misstand melden bij een externe derde als bedoeld in artikel 11 lid 1, met inachtneming van het in artikel 11 bepaalde, indien: </w:t>
      </w:r>
    </w:p>
    <w:p w14:paraId="4F30C129" w14:textId="77777777" w:rsidR="00B41A83" w:rsidRPr="00BD1EF3" w:rsidRDefault="00B41A83" w:rsidP="00B41A83">
      <w:pPr>
        <w:pStyle w:val="Lijstalinea"/>
        <w:widowControl w:val="0"/>
        <w:numPr>
          <w:ilvl w:val="0"/>
          <w:numId w:val="35"/>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Hij het niet eens is met het standpunt als bedoeld in artikel 9; </w:t>
      </w:r>
    </w:p>
    <w:p w14:paraId="1C6F12BF" w14:textId="77777777" w:rsidR="00B41A83" w:rsidRPr="00BD1EF3" w:rsidRDefault="00B41A83" w:rsidP="00B41A83">
      <w:pPr>
        <w:pStyle w:val="Lijstalinea"/>
        <w:widowControl w:val="0"/>
        <w:numPr>
          <w:ilvl w:val="0"/>
          <w:numId w:val="35"/>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Hij geen standpunt heeft ontvangen binnen de vereiste termijn, bedoeld in het eerste en tweede lid van artikel 9; </w:t>
      </w:r>
    </w:p>
    <w:p w14:paraId="6C2EDC7C" w14:textId="77777777" w:rsidR="00B41A83" w:rsidRPr="00BD1EF3" w:rsidRDefault="00B41A83" w:rsidP="00B41A83">
      <w:pPr>
        <w:pStyle w:val="Lijstalinea"/>
        <w:widowControl w:val="0"/>
        <w:numPr>
          <w:ilvl w:val="0"/>
          <w:numId w:val="35"/>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De termijn, bedoeld in het tweede lid van artikel 9 gelet op alle omstandigheden onredelijk lang is en betrokkene hiertegen bezwaar heeft gemaakt bij het bevoegd gezag of de toezichthouder; of;</w:t>
      </w:r>
    </w:p>
    <w:p w14:paraId="5CCD7C9A" w14:textId="77777777" w:rsidR="00B41A83" w:rsidRPr="00BD1EF3" w:rsidRDefault="00B41A83" w:rsidP="00B41A83">
      <w:pPr>
        <w:pStyle w:val="Lijstalinea"/>
        <w:widowControl w:val="0"/>
        <w:numPr>
          <w:ilvl w:val="0"/>
          <w:numId w:val="35"/>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Sprake is van een uitzonderingsgrond als bedoeld in het volgende lid. </w:t>
      </w:r>
    </w:p>
    <w:p w14:paraId="52320E04" w14:textId="77777777" w:rsidR="00B41A83" w:rsidRPr="00BD1EF3" w:rsidRDefault="00B41A83" w:rsidP="00B41A83">
      <w:pPr>
        <w:pStyle w:val="Lijstalinea"/>
        <w:widowControl w:val="0"/>
        <w:numPr>
          <w:ilvl w:val="0"/>
          <w:numId w:val="46"/>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Een uitzonderingsgrond als bedoeld in het vorige lid onder d doet zich voor, indien sprake is van: </w:t>
      </w:r>
    </w:p>
    <w:p w14:paraId="655082C5" w14:textId="77777777" w:rsidR="00B41A83" w:rsidRPr="00BD1EF3" w:rsidRDefault="00B41A83" w:rsidP="00B41A83">
      <w:pPr>
        <w:pStyle w:val="Lijstalinea"/>
        <w:widowControl w:val="0"/>
        <w:numPr>
          <w:ilvl w:val="0"/>
          <w:numId w:val="36"/>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Acuut gevaar, waarbij een zwaarwegend en spoedeisend maatschappelijk belang onmiddellijke externe melding noodzakelijk maakt; </w:t>
      </w:r>
    </w:p>
    <w:p w14:paraId="5CB5BF2B" w14:textId="77777777" w:rsidR="00B41A83" w:rsidRPr="00BD1EF3" w:rsidRDefault="00B41A83" w:rsidP="00B41A83">
      <w:pPr>
        <w:pStyle w:val="Lijstalinea"/>
        <w:widowControl w:val="0"/>
        <w:numPr>
          <w:ilvl w:val="0"/>
          <w:numId w:val="36"/>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Een situatie waarin betrokkene in redelijkheid kan vrezen voor tegenmaatregelen als gevolg van een interne melding; </w:t>
      </w:r>
    </w:p>
    <w:p w14:paraId="4373BB46" w14:textId="77777777" w:rsidR="00B41A83" w:rsidRPr="00BD1EF3" w:rsidRDefault="00B41A83" w:rsidP="00B41A83">
      <w:pPr>
        <w:pStyle w:val="Lijstalinea"/>
        <w:widowControl w:val="0"/>
        <w:numPr>
          <w:ilvl w:val="0"/>
          <w:numId w:val="36"/>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Een duidelijke dreiging van verduistering of vernietiging van bewijsmateriaal; </w:t>
      </w:r>
    </w:p>
    <w:p w14:paraId="49E4406D" w14:textId="77777777" w:rsidR="00B41A83" w:rsidRPr="00BD1EF3" w:rsidRDefault="00B41A83" w:rsidP="00B41A83">
      <w:pPr>
        <w:pStyle w:val="Lijstalinea"/>
        <w:widowControl w:val="0"/>
        <w:numPr>
          <w:ilvl w:val="0"/>
          <w:numId w:val="36"/>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Een eerdere interne melding conform de procedure van in wezen dezelfde misstand, die de misstand niet heeft weggenomen; </w:t>
      </w:r>
    </w:p>
    <w:p w14:paraId="548860D3" w14:textId="77777777" w:rsidR="00B41A83" w:rsidRPr="00BD1EF3" w:rsidRDefault="00B41A83" w:rsidP="00B41A83">
      <w:pPr>
        <w:pStyle w:val="Lijstalinea"/>
        <w:widowControl w:val="0"/>
        <w:numPr>
          <w:ilvl w:val="0"/>
          <w:numId w:val="36"/>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 xml:space="preserve">Een wettelijke plicht of bevoegdheid tot direct extern melden. </w:t>
      </w:r>
    </w:p>
    <w:p w14:paraId="0EF76695"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drawing>
          <wp:anchor distT="0" distB="0" distL="114300" distR="114300" simplePos="0" relativeHeight="251660288" behindDoc="1" locked="0" layoutInCell="0" allowOverlap="1" wp14:anchorId="36158659" wp14:editId="72CFCA3D">
            <wp:simplePos x="0" y="0"/>
            <wp:positionH relativeFrom="column">
              <wp:posOffset>3314065</wp:posOffset>
            </wp:positionH>
            <wp:positionV relativeFrom="paragraph">
              <wp:posOffset>369570</wp:posOffset>
            </wp:positionV>
            <wp:extent cx="746760" cy="530860"/>
            <wp:effectExtent l="0" t="0" r="0" b="2540"/>
            <wp:wrapNone/>
            <wp:docPr id="1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71322"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b/>
          <w:bCs/>
          <w:sz w:val="20"/>
        </w:rPr>
      </w:pPr>
    </w:p>
    <w:p w14:paraId="2A15D140"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b/>
          <w:bCs/>
          <w:sz w:val="20"/>
        </w:rPr>
      </w:pPr>
      <w:r w:rsidRPr="00BD1EF3">
        <w:rPr>
          <w:rFonts w:ascii="Tahoma" w:hAnsi="Tahoma" w:cs="Tahoma"/>
          <w:b/>
          <w:bCs/>
          <w:sz w:val="20"/>
        </w:rPr>
        <w:t>Artikel 11 Externe derde</w:t>
      </w:r>
    </w:p>
    <w:p w14:paraId="22094C2F" w14:textId="77777777" w:rsidR="00B41A83" w:rsidRPr="00BD1EF3" w:rsidRDefault="00B41A83" w:rsidP="00B41A83">
      <w:pPr>
        <w:widowControl w:val="0"/>
        <w:tabs>
          <w:tab w:val="num" w:pos="177"/>
        </w:tabs>
        <w:autoSpaceDE w:val="0"/>
        <w:autoSpaceDN w:val="0"/>
        <w:adjustRightInd w:val="0"/>
        <w:spacing w:line="280" w:lineRule="atLeast"/>
        <w:jc w:val="both"/>
        <w:rPr>
          <w:rFonts w:ascii="Tahoma" w:hAnsi="Tahoma" w:cs="Tahoma"/>
          <w:sz w:val="20"/>
        </w:rPr>
      </w:pPr>
    </w:p>
    <w:p w14:paraId="59BC68EF" w14:textId="77777777" w:rsidR="00B41A83" w:rsidRPr="00BD1EF3" w:rsidRDefault="00B41A83" w:rsidP="00B41A83">
      <w:pPr>
        <w:widowControl w:val="0"/>
        <w:numPr>
          <w:ilvl w:val="0"/>
          <w:numId w:val="37"/>
        </w:numPr>
        <w:kinsoku w:val="0"/>
        <w:overflowPunct w:val="0"/>
        <w:spacing w:line="280" w:lineRule="atLeast"/>
        <w:jc w:val="both"/>
        <w:textAlignment w:val="baseline"/>
        <w:rPr>
          <w:rFonts w:ascii="Tahoma" w:hAnsi="Tahoma" w:cs="Tahoma"/>
          <w:sz w:val="20"/>
        </w:rPr>
      </w:pPr>
      <w:r w:rsidRPr="00BD1EF3">
        <w:rPr>
          <w:rFonts w:ascii="Tahoma" w:hAnsi="Tahoma" w:cs="Tahoma"/>
          <w:sz w:val="20"/>
        </w:rPr>
        <w:t>De betrokkene kan de externe melding als bedoeld in artikel 10 doen bij een externe instantie die daarvoor naar het redelijk oordeel van de betrokkene het meest in aanmerking komt. Onder externe instantie wordt in ieder geval verstaan:</w:t>
      </w:r>
    </w:p>
    <w:p w14:paraId="2C128C11" w14:textId="77777777" w:rsidR="00B41A83" w:rsidRPr="00BD1EF3" w:rsidRDefault="00B41A83" w:rsidP="00B41A83">
      <w:pPr>
        <w:widowControl w:val="0"/>
        <w:numPr>
          <w:ilvl w:val="0"/>
          <w:numId w:val="40"/>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de opsporing van strafbare feiten;</w:t>
      </w:r>
    </w:p>
    <w:p w14:paraId="5E942996" w14:textId="77777777" w:rsidR="00B41A83" w:rsidRPr="00BD1EF3" w:rsidRDefault="00B41A83" w:rsidP="00B41A83">
      <w:pPr>
        <w:widowControl w:val="0"/>
        <w:numPr>
          <w:ilvl w:val="0"/>
          <w:numId w:val="41"/>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het toezicht op de naleving van het bepaalde bij of krachtens enig wettelijk voorschrift</w:t>
      </w:r>
      <w:r>
        <w:rPr>
          <w:rFonts w:ascii="Tahoma" w:hAnsi="Tahoma" w:cs="Tahoma"/>
          <w:sz w:val="20"/>
        </w:rPr>
        <w:t xml:space="preserve"> (Inspectie SZW, Onderwijsinspectie)</w:t>
      </w:r>
      <w:r w:rsidRPr="00BD1EF3">
        <w:rPr>
          <w:rFonts w:ascii="Tahoma" w:hAnsi="Tahoma" w:cs="Tahoma"/>
          <w:sz w:val="20"/>
        </w:rPr>
        <w:t>;</w:t>
      </w:r>
    </w:p>
    <w:p w14:paraId="750C4F48" w14:textId="77777777" w:rsidR="00B41A83" w:rsidRPr="00BD1EF3" w:rsidRDefault="00B41A83" w:rsidP="00B41A83">
      <w:pPr>
        <w:widowControl w:val="0"/>
        <w:numPr>
          <w:ilvl w:val="0"/>
          <w:numId w:val="40"/>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andere daartoe bevoegde instantie waar het vermoeden van een misstand kan worden gemeld;</w:t>
      </w:r>
    </w:p>
    <w:p w14:paraId="744A7DA8" w14:textId="77777777" w:rsidR="00B41A83" w:rsidRPr="00BD1EF3" w:rsidRDefault="00B41A83" w:rsidP="00B41A83">
      <w:pPr>
        <w:widowControl w:val="0"/>
        <w:numPr>
          <w:ilvl w:val="0"/>
          <w:numId w:val="40"/>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het Huis voor zover de betrokkene een werknemer is.</w:t>
      </w:r>
    </w:p>
    <w:p w14:paraId="68C383A6" w14:textId="77777777" w:rsidR="00B41A83" w:rsidRPr="00BD1EF3" w:rsidRDefault="00B41A83" w:rsidP="00B41A83">
      <w:pPr>
        <w:widowControl w:val="0"/>
        <w:numPr>
          <w:ilvl w:val="0"/>
          <w:numId w:val="37"/>
        </w:numPr>
        <w:kinsoku w:val="0"/>
        <w:overflowPunct w:val="0"/>
        <w:spacing w:line="280" w:lineRule="atLeast"/>
        <w:jc w:val="both"/>
        <w:textAlignment w:val="baseline"/>
        <w:rPr>
          <w:rFonts w:ascii="Tahoma" w:hAnsi="Tahoma" w:cs="Tahoma"/>
          <w:sz w:val="20"/>
        </w:rPr>
      </w:pPr>
      <w:r w:rsidRPr="00BD1EF3">
        <w:rPr>
          <w:rFonts w:ascii="Tahoma" w:hAnsi="Tahoma" w:cs="Tahoma"/>
          <w:sz w:val="20"/>
        </w:rPr>
        <w:lastRenderedPageBreak/>
        <w:t>Indien naar het redelijk oordeel van de betrokkene het maatschappelijk belang zwaarder weegt dan het belang van de werkgever bij geheimhouding, kan de betrokkene de externe melding ook doen bij een externe derde die naar zijn redelijk oordeel in staat mag worden geacht direct of indirect de vermoede misstand te kunnen opheffen of doen opheffen.</w:t>
      </w:r>
    </w:p>
    <w:p w14:paraId="2F9E6D9E" w14:textId="77777777" w:rsidR="00B41A83" w:rsidRPr="00BD1EF3" w:rsidRDefault="00B41A83" w:rsidP="00B41A83">
      <w:pPr>
        <w:widowControl w:val="0"/>
        <w:numPr>
          <w:ilvl w:val="0"/>
          <w:numId w:val="37"/>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De melding vindt plaats aan de externe derde(n) die daarvoor naar het redelijk oordeel van betrokkene gelet op de omstandigheden van het geval, het meest in aanmerking komt/komen. Daarbij houdt betrokkene enerzijds rekening met de effectiviteit waarmee die derde kan ingrijpen en anderzijds met het belang van het bevoegd gezag bij een zo gering mogelijke schade als gevolg van dat ingrijpen, voor zover die schade niet noodzakelijkerwijs voortvloeit uit het optreden tegen de misstand. </w:t>
      </w:r>
    </w:p>
    <w:p w14:paraId="6BE018F8" w14:textId="77777777" w:rsidR="00B41A83" w:rsidRPr="00BD1EF3" w:rsidRDefault="00B41A83" w:rsidP="00B41A83">
      <w:pPr>
        <w:widowControl w:val="0"/>
        <w:numPr>
          <w:ilvl w:val="0"/>
          <w:numId w:val="37"/>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Betrokkene dient bij melding aan een externe derde een gepaste vorm van zorgvuldigheid en vertrouwelijkheid in acht te nemen. </w:t>
      </w:r>
    </w:p>
    <w:p w14:paraId="0F2AC261" w14:textId="77777777" w:rsidR="00B41A83" w:rsidRPr="00BD1EF3" w:rsidRDefault="00B41A83" w:rsidP="00B41A83">
      <w:pPr>
        <w:widowControl w:val="0"/>
        <w:numPr>
          <w:ilvl w:val="0"/>
          <w:numId w:val="37"/>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Naarmate de mogelijkheid van schade voor het bevoegd gezag als gevolg van de melding bij een externe derde groter wordt, dient het vermoeden van een misstand bij betrokkene die bij een externe derde meldt sterker te zijn. </w:t>
      </w:r>
    </w:p>
    <w:p w14:paraId="766FC672"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b/>
          <w:bCs/>
          <w:sz w:val="20"/>
        </w:rPr>
      </w:pPr>
    </w:p>
    <w:p w14:paraId="391D00FF"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b/>
          <w:bCs/>
          <w:sz w:val="20"/>
        </w:rPr>
      </w:pPr>
    </w:p>
    <w:p w14:paraId="28BBFA99" w14:textId="77777777" w:rsidR="00B41A83" w:rsidRDefault="00B41A83" w:rsidP="00B41A83">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12 Rechtsbescherming</w:t>
      </w:r>
    </w:p>
    <w:p w14:paraId="4E898FC1"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0E5CC698" w14:textId="77777777" w:rsidR="00B41A83" w:rsidRPr="00BD1EF3" w:rsidRDefault="00B41A83" w:rsidP="00B41A83">
      <w:pPr>
        <w:widowControl w:val="0"/>
        <w:numPr>
          <w:ilvl w:val="0"/>
          <w:numId w:val="30"/>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mag de betrokkene c.q. de werknemer niet benadelen wegens de omstandigheid dat de betrokkene c.q. de werknemer een melding heeft gedaan bij het bevoegd gezag of – voor zover het de werknemer betreft – bij het Huis, van het vermoeden van een misstand.</w:t>
      </w:r>
    </w:p>
    <w:p w14:paraId="183B62C7" w14:textId="77777777" w:rsidR="00B41A83" w:rsidRPr="00BD1EF3" w:rsidRDefault="00B41A83" w:rsidP="00B41A83">
      <w:pPr>
        <w:numPr>
          <w:ilvl w:val="0"/>
          <w:numId w:val="30"/>
        </w:numPr>
        <w:kinsoku w:val="0"/>
        <w:overflowPunct w:val="0"/>
        <w:spacing w:line="280" w:lineRule="atLeast"/>
        <w:jc w:val="both"/>
        <w:textAlignment w:val="baseline"/>
        <w:rPr>
          <w:rFonts w:ascii="Tahoma" w:hAnsi="Tahoma" w:cs="Tahoma"/>
          <w:sz w:val="20"/>
        </w:rPr>
      </w:pPr>
      <w:r w:rsidRPr="00BD1EF3">
        <w:rPr>
          <w:rFonts w:ascii="Tahoma" w:hAnsi="Tahoma" w:cs="Tahoma"/>
          <w:sz w:val="20"/>
        </w:rPr>
        <w:t>De werkgever kan de arbeidsovereenkomst met een werknemer niet opzeggen:</w:t>
      </w:r>
    </w:p>
    <w:p w14:paraId="3949308E" w14:textId="77777777" w:rsidR="00B41A83" w:rsidRPr="00BD1EF3" w:rsidRDefault="00B41A83" w:rsidP="00B41A83">
      <w:pPr>
        <w:widowControl w:val="0"/>
        <w:numPr>
          <w:ilvl w:val="1"/>
          <w:numId w:val="29"/>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wegens de omstandigheid dat de werknemer te goeder trouw en naar behoren een melding heeft gedaan bij het bevoegd gezag of het Huis, van een vermoeden van een misstand;</w:t>
      </w:r>
    </w:p>
    <w:p w14:paraId="47D87D45" w14:textId="77777777" w:rsidR="00B41A83" w:rsidRPr="00BD1EF3" w:rsidRDefault="00B41A83" w:rsidP="00B41A83">
      <w:pPr>
        <w:widowControl w:val="0"/>
        <w:numPr>
          <w:ilvl w:val="1"/>
          <w:numId w:val="29"/>
        </w:numPr>
        <w:kinsoku w:val="0"/>
        <w:overflowPunct w:val="0"/>
        <w:spacing w:line="280" w:lineRule="atLeast"/>
        <w:ind w:left="727"/>
        <w:jc w:val="both"/>
        <w:textAlignment w:val="baseline"/>
        <w:rPr>
          <w:rFonts w:ascii="Tahoma" w:hAnsi="Tahoma" w:cs="Tahoma"/>
          <w:sz w:val="20"/>
        </w:rPr>
      </w:pPr>
      <w:r w:rsidRPr="00BD1EF3">
        <w:rPr>
          <w:rFonts w:ascii="Tahoma" w:hAnsi="Tahoma" w:cs="Tahoma"/>
          <w:spacing w:val="6"/>
          <w:sz w:val="20"/>
        </w:rPr>
        <w:t>gedurende het onderzoek door het Huis;</w:t>
      </w:r>
    </w:p>
    <w:p w14:paraId="574A970F" w14:textId="77777777" w:rsidR="00B41A83" w:rsidRPr="00BD1EF3" w:rsidRDefault="00B41A83" w:rsidP="00B41A83">
      <w:pPr>
        <w:widowControl w:val="0"/>
        <w:numPr>
          <w:ilvl w:val="1"/>
          <w:numId w:val="29"/>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tot een jaar na het oordeel van het Huis dat het aannemelijk is dat sprake is van een misstand.</w:t>
      </w:r>
    </w:p>
    <w:p w14:paraId="6391EFDE" w14:textId="77777777" w:rsidR="00B41A83" w:rsidRPr="00BD1EF3" w:rsidRDefault="00B41A83" w:rsidP="00B41A83">
      <w:pPr>
        <w:widowControl w:val="0"/>
        <w:numPr>
          <w:ilvl w:val="0"/>
          <w:numId w:val="30"/>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Benadeling van een leerling of ouder die melding heeft gemaakt van een misstand conform voorliggende regeling, wordt beschouwd als wanprestatie dan wel een onrechtmatige daad. </w:t>
      </w:r>
    </w:p>
    <w:p w14:paraId="70ABF42F" w14:textId="77777777" w:rsidR="00B41A83" w:rsidRPr="00BD1EF3" w:rsidRDefault="00B41A83" w:rsidP="00B41A83">
      <w:pPr>
        <w:widowControl w:val="0"/>
        <w:numPr>
          <w:ilvl w:val="0"/>
          <w:numId w:val="30"/>
        </w:numPr>
        <w:overflowPunct w:val="0"/>
        <w:autoSpaceDE w:val="0"/>
        <w:autoSpaceDN w:val="0"/>
        <w:adjustRightInd w:val="0"/>
        <w:spacing w:line="280" w:lineRule="atLeast"/>
        <w:jc w:val="both"/>
        <w:rPr>
          <w:rFonts w:ascii="Tahoma" w:hAnsi="Tahoma" w:cs="Tahoma"/>
          <w:bCs/>
          <w:sz w:val="20"/>
        </w:rPr>
      </w:pPr>
      <w:r w:rsidRPr="00BD1EF3">
        <w:rPr>
          <w:rFonts w:ascii="Tahoma" w:hAnsi="Tahoma" w:cs="Tahoma"/>
          <w:sz w:val="20"/>
        </w:rPr>
        <w:t xml:space="preserve">De vertrouwenspersoon kan niet worden gedwongen de identiteit bekend te maken van een betrokkene die heeft aangegeven een vertrouwelijke melding te willen doen. </w:t>
      </w:r>
    </w:p>
    <w:p w14:paraId="0FC3956E" w14:textId="77777777" w:rsidR="00B41A83" w:rsidRDefault="00B41A83" w:rsidP="00B41A83">
      <w:pPr>
        <w:widowControl w:val="0"/>
        <w:numPr>
          <w:ilvl w:val="0"/>
          <w:numId w:val="30"/>
        </w:numPr>
        <w:autoSpaceDE w:val="0"/>
        <w:autoSpaceDN w:val="0"/>
        <w:adjustRightInd w:val="0"/>
        <w:spacing w:line="280" w:lineRule="atLeast"/>
        <w:jc w:val="both"/>
        <w:rPr>
          <w:rFonts w:ascii="Tahoma" w:hAnsi="Tahoma" w:cs="Tahoma"/>
          <w:sz w:val="20"/>
        </w:rPr>
      </w:pPr>
      <w:r w:rsidRPr="00BD1EF3">
        <w:rPr>
          <w:rFonts w:ascii="Tahoma" w:hAnsi="Tahoma" w:cs="Tahoma"/>
          <w:sz w:val="20"/>
        </w:rPr>
        <w:t>De werknemer kan het Huis verzoeken een onderzoek in te stellen naar de wijze waarop het bevoegd gezag zich jegens de werknemer heeft gedragen naar aanleiding van een gedane melding inzake het vermoeden van een misstand.</w:t>
      </w:r>
    </w:p>
    <w:p w14:paraId="5D48553B" w14:textId="77777777" w:rsidR="00B41A83" w:rsidRPr="00BD1EF3" w:rsidRDefault="00B41A83" w:rsidP="00B41A83">
      <w:pPr>
        <w:widowControl w:val="0"/>
        <w:autoSpaceDE w:val="0"/>
        <w:autoSpaceDN w:val="0"/>
        <w:adjustRightInd w:val="0"/>
        <w:spacing w:line="280" w:lineRule="atLeast"/>
        <w:ind w:left="7"/>
        <w:jc w:val="both"/>
        <w:rPr>
          <w:rFonts w:ascii="Tahoma" w:hAnsi="Tahoma" w:cs="Tahoma"/>
          <w:sz w:val="20"/>
        </w:rPr>
      </w:pPr>
    </w:p>
    <w:p w14:paraId="3AFAA215"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3C28DDD0"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13 Openbaarheid van de regeling</w:t>
      </w:r>
    </w:p>
    <w:p w14:paraId="06D25AC5"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4EF0E1C0" w14:textId="77777777" w:rsidR="00B41A83" w:rsidRPr="00BD1EF3" w:rsidRDefault="00B41A83" w:rsidP="00B41A83">
      <w:pPr>
        <w:widowControl w:val="0"/>
        <w:numPr>
          <w:ilvl w:val="0"/>
          <w:numId w:val="3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zorgt ervoor dat de regeling op een vertrouwelijke manier kan worden geraadpleegd. </w:t>
      </w:r>
    </w:p>
    <w:p w14:paraId="0A1166B5" w14:textId="77777777" w:rsidR="00B41A83" w:rsidRPr="00BD1EF3" w:rsidRDefault="00B41A83" w:rsidP="00B41A83">
      <w:pPr>
        <w:widowControl w:val="0"/>
        <w:numPr>
          <w:ilvl w:val="0"/>
          <w:numId w:val="3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89DED11" w14:textId="77777777" w:rsidR="00B41A83" w:rsidRDefault="00B41A83" w:rsidP="00B41A83">
      <w:pPr>
        <w:widowControl w:val="0"/>
        <w:autoSpaceDE w:val="0"/>
        <w:autoSpaceDN w:val="0"/>
        <w:adjustRightInd w:val="0"/>
        <w:spacing w:line="280" w:lineRule="atLeast"/>
        <w:jc w:val="both"/>
        <w:rPr>
          <w:rFonts w:ascii="Tahoma" w:hAnsi="Tahoma" w:cs="Tahoma"/>
          <w:sz w:val="20"/>
        </w:rPr>
      </w:pPr>
    </w:p>
    <w:p w14:paraId="3D9C91AC"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3A8D4DEC"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14 Overige bepalingen</w:t>
      </w:r>
    </w:p>
    <w:p w14:paraId="59F339CA"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62FCD92A" w14:textId="77777777" w:rsidR="00B41A83" w:rsidRPr="00857E6C" w:rsidRDefault="00B41A83" w:rsidP="00B41A83">
      <w:pPr>
        <w:widowControl w:val="0"/>
        <w:numPr>
          <w:ilvl w:val="0"/>
          <w:numId w:val="39"/>
        </w:numPr>
        <w:overflowPunct w:val="0"/>
        <w:autoSpaceDE w:val="0"/>
        <w:autoSpaceDN w:val="0"/>
        <w:adjustRightInd w:val="0"/>
        <w:spacing w:line="280" w:lineRule="atLeast"/>
        <w:jc w:val="both"/>
        <w:rPr>
          <w:rFonts w:ascii="Tahoma" w:hAnsi="Tahoma" w:cs="Tahoma"/>
          <w:b/>
          <w:bCs/>
          <w:sz w:val="20"/>
        </w:rPr>
      </w:pPr>
      <w:r>
        <w:rPr>
          <w:rFonts w:ascii="Tahoma" w:hAnsi="Tahoma" w:cs="Tahoma"/>
          <w:sz w:val="20"/>
        </w:rPr>
        <w:t xml:space="preserve">De (gemeenschappelijke) medezeggenschapsraad heeft op 9 mei 2017 schriftelijk (per mail) ingestemd met deze regeling. </w:t>
      </w:r>
    </w:p>
    <w:p w14:paraId="192417D9" w14:textId="77777777" w:rsidR="00B41A83" w:rsidRPr="00BD1EF3" w:rsidRDefault="00B41A83" w:rsidP="00B41A83">
      <w:pPr>
        <w:widowControl w:val="0"/>
        <w:numPr>
          <w:ilvl w:val="0"/>
          <w:numId w:val="3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Deze regeling treedt in werking op </w:t>
      </w:r>
      <w:r>
        <w:rPr>
          <w:rFonts w:ascii="Tahoma" w:hAnsi="Tahoma" w:cs="Tahoma"/>
          <w:sz w:val="20"/>
        </w:rPr>
        <w:t>1 mei 2017</w:t>
      </w:r>
      <w:r w:rsidRPr="00BD1EF3">
        <w:rPr>
          <w:rFonts w:ascii="Tahoma" w:hAnsi="Tahoma" w:cs="Tahoma"/>
          <w:sz w:val="20"/>
        </w:rPr>
        <w:t>.</w:t>
      </w:r>
    </w:p>
    <w:p w14:paraId="18B38F6A" w14:textId="77777777" w:rsidR="00B41A83" w:rsidRPr="00BD1EF3" w:rsidRDefault="00B41A83" w:rsidP="00B41A83">
      <w:pPr>
        <w:widowControl w:val="0"/>
        <w:numPr>
          <w:ilvl w:val="0"/>
          <w:numId w:val="3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 gevallen waarin de regeling niet voorziet, beslist het bevoegd gezag. </w:t>
      </w:r>
    </w:p>
    <w:p w14:paraId="3B919619" w14:textId="49E0F515" w:rsidR="00B41A83" w:rsidRPr="00857E6C" w:rsidRDefault="00B41A83" w:rsidP="00B41A83">
      <w:pPr>
        <w:widowControl w:val="0"/>
        <w:numPr>
          <w:ilvl w:val="0"/>
          <w:numId w:val="3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lastRenderedPageBreak/>
        <w:t xml:space="preserve">Deze regeling kan worden aangehaald als ‘Regeling inzake het omgaan met een vermoeden van een misstand </w:t>
      </w:r>
      <w:r>
        <w:rPr>
          <w:rFonts w:ascii="Tahoma" w:hAnsi="Tahoma" w:cs="Tahoma"/>
          <w:sz w:val="20"/>
        </w:rPr>
        <w:t>VCO DE HOEKSTEEN</w:t>
      </w:r>
      <w:r w:rsidRPr="00BD1EF3">
        <w:rPr>
          <w:rFonts w:ascii="Tahoma" w:hAnsi="Tahoma" w:cs="Tahoma"/>
          <w:sz w:val="20"/>
        </w:rPr>
        <w:t>’.</w:t>
      </w:r>
    </w:p>
    <w:p w14:paraId="5B380696" w14:textId="30C59337" w:rsidR="00B41A83" w:rsidRPr="00BD1EF3" w:rsidRDefault="00B41A83" w:rsidP="00B41A83">
      <w:pPr>
        <w:widowControl w:val="0"/>
        <w:numPr>
          <w:ilvl w:val="0"/>
          <w:numId w:val="39"/>
        </w:numPr>
        <w:overflowPunct w:val="0"/>
        <w:autoSpaceDE w:val="0"/>
        <w:autoSpaceDN w:val="0"/>
        <w:adjustRightInd w:val="0"/>
        <w:spacing w:line="280" w:lineRule="atLeast"/>
        <w:jc w:val="both"/>
        <w:rPr>
          <w:rFonts w:ascii="Tahoma" w:hAnsi="Tahoma" w:cs="Tahoma"/>
          <w:b/>
          <w:bCs/>
          <w:sz w:val="20"/>
        </w:rPr>
      </w:pPr>
      <w:r>
        <w:rPr>
          <w:rFonts w:ascii="Tahoma" w:hAnsi="Tahoma" w:cs="Tahoma"/>
          <w:sz w:val="20"/>
        </w:rPr>
        <w:t>Deze regeling wordt algemeen bekend gemaakt en is te vinden op www.</w:t>
      </w:r>
      <w:r>
        <w:rPr>
          <w:rFonts w:ascii="Tahoma" w:hAnsi="Tahoma" w:cs="Tahoma"/>
          <w:sz w:val="20"/>
        </w:rPr>
        <w:t>VCO de Hoeksteen</w:t>
      </w:r>
      <w:r>
        <w:rPr>
          <w:rFonts w:ascii="Tahoma" w:hAnsi="Tahoma" w:cs="Tahoma"/>
          <w:sz w:val="20"/>
        </w:rPr>
        <w:t>.nl</w:t>
      </w:r>
    </w:p>
    <w:p w14:paraId="0F61899A" w14:textId="77777777" w:rsidR="00B41A83" w:rsidRPr="00BD1EF3" w:rsidRDefault="00B41A83" w:rsidP="00B41A83">
      <w:pPr>
        <w:widowControl w:val="0"/>
        <w:autoSpaceDE w:val="0"/>
        <w:autoSpaceDN w:val="0"/>
        <w:adjustRightInd w:val="0"/>
        <w:spacing w:line="280" w:lineRule="atLeast"/>
        <w:jc w:val="both"/>
        <w:rPr>
          <w:rFonts w:ascii="Tahoma" w:hAnsi="Tahoma" w:cs="Tahoma"/>
          <w:sz w:val="20"/>
        </w:rPr>
      </w:pPr>
    </w:p>
    <w:p w14:paraId="2BE89C02" w14:textId="77777777" w:rsidR="00B41A83" w:rsidRDefault="00B41A83" w:rsidP="00B41A83">
      <w:pPr>
        <w:widowControl w:val="0"/>
        <w:tabs>
          <w:tab w:val="left" w:pos="4040"/>
        </w:tabs>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Aldus vastgesteld in de vergadering van </w:t>
      </w:r>
      <w:r>
        <w:rPr>
          <w:rFonts w:ascii="Tahoma" w:hAnsi="Tahoma" w:cs="Tahoma"/>
          <w:sz w:val="20"/>
        </w:rPr>
        <w:t xml:space="preserve">het bevoegd gezag </w:t>
      </w:r>
      <w:r w:rsidRPr="00BD1EF3">
        <w:rPr>
          <w:rFonts w:ascii="Tahoma" w:hAnsi="Tahoma" w:cs="Tahoma"/>
          <w:sz w:val="20"/>
        </w:rPr>
        <w:t xml:space="preserve">op </w:t>
      </w:r>
      <w:r>
        <w:rPr>
          <w:rFonts w:ascii="Tahoma" w:hAnsi="Tahoma" w:cs="Tahoma"/>
          <w:sz w:val="20"/>
        </w:rPr>
        <w:t>15-03-2017</w:t>
      </w:r>
    </w:p>
    <w:p w14:paraId="15B5C202" w14:textId="77777777" w:rsidR="00B41A83" w:rsidRDefault="00B41A83" w:rsidP="00B41A83">
      <w:pPr>
        <w:widowControl w:val="0"/>
        <w:tabs>
          <w:tab w:val="left" w:pos="4040"/>
        </w:tabs>
        <w:autoSpaceDE w:val="0"/>
        <w:autoSpaceDN w:val="0"/>
        <w:adjustRightInd w:val="0"/>
        <w:spacing w:line="280" w:lineRule="atLeast"/>
        <w:jc w:val="both"/>
        <w:rPr>
          <w:rFonts w:ascii="Tahoma" w:hAnsi="Tahoma" w:cs="Tahoma"/>
          <w:sz w:val="20"/>
        </w:rPr>
      </w:pPr>
      <w:r>
        <w:rPr>
          <w:rFonts w:ascii="Tahoma" w:hAnsi="Tahoma" w:cs="Tahoma"/>
          <w:sz w:val="20"/>
        </w:rPr>
        <w:t>Goedgekeurd door het CB op 11 april 2017</w:t>
      </w:r>
    </w:p>
    <w:p w14:paraId="78E092ED" w14:textId="77777777" w:rsidR="00B41A83" w:rsidRPr="00BD1EF3" w:rsidRDefault="00B41A83" w:rsidP="00B41A83">
      <w:pPr>
        <w:widowControl w:val="0"/>
        <w:tabs>
          <w:tab w:val="left" w:pos="4040"/>
        </w:tabs>
        <w:autoSpaceDE w:val="0"/>
        <w:autoSpaceDN w:val="0"/>
        <w:adjustRightInd w:val="0"/>
        <w:spacing w:line="280" w:lineRule="atLeast"/>
        <w:jc w:val="both"/>
        <w:rPr>
          <w:rFonts w:ascii="Tahoma" w:hAnsi="Tahoma" w:cs="Tahoma"/>
          <w:sz w:val="20"/>
        </w:rPr>
      </w:pPr>
      <w:r>
        <w:rPr>
          <w:rFonts w:ascii="Tahoma" w:hAnsi="Tahoma" w:cs="Tahoma"/>
          <w:sz w:val="20"/>
        </w:rPr>
        <w:t>Positief advies van GMR op 8 mei 2017</w:t>
      </w:r>
    </w:p>
    <w:p w14:paraId="30F45726" w14:textId="77777777" w:rsidR="00B41A83" w:rsidRPr="00590156" w:rsidRDefault="00B41A83" w:rsidP="00590156"/>
    <w:sectPr w:rsidR="00B41A83" w:rsidRPr="00590156" w:rsidSect="00AF1F30">
      <w:headerReference w:type="default" r:id="rId12"/>
      <w:footerReference w:type="default" r:id="rId13"/>
      <w:headerReference w:type="first" r:id="rId14"/>
      <w:pgSz w:w="11906" w:h="16838"/>
      <w:pgMar w:top="94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C829" w14:textId="77777777" w:rsidR="00587EC5" w:rsidRDefault="00587EC5" w:rsidP="00AF1F30">
      <w:pPr>
        <w:spacing w:line="240" w:lineRule="auto"/>
      </w:pPr>
      <w:r>
        <w:separator/>
      </w:r>
    </w:p>
  </w:endnote>
  <w:endnote w:type="continuationSeparator" w:id="0">
    <w:p w14:paraId="2CD3066D" w14:textId="77777777" w:rsidR="00587EC5" w:rsidRDefault="00587EC5" w:rsidP="00AF1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762" w14:textId="5074ADDC" w:rsidR="00937748" w:rsidRDefault="00937748" w:rsidP="00193D0E">
    <w:pPr>
      <w:pStyle w:val="Voettekst"/>
      <w:tabs>
        <w:tab w:val="clear" w:pos="4536"/>
        <w:tab w:val="clear" w:pos="9072"/>
        <w:tab w:val="left" w:pos="1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5ABF" w14:textId="77777777" w:rsidR="00587EC5" w:rsidRDefault="00587EC5" w:rsidP="00AF1F30">
      <w:pPr>
        <w:spacing w:line="240" w:lineRule="auto"/>
      </w:pPr>
      <w:r>
        <w:separator/>
      </w:r>
    </w:p>
  </w:footnote>
  <w:footnote w:type="continuationSeparator" w:id="0">
    <w:p w14:paraId="18F83355" w14:textId="77777777" w:rsidR="00587EC5" w:rsidRDefault="00587EC5" w:rsidP="00AF1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6A18" w14:textId="752CCA53" w:rsidR="00AF1F30" w:rsidRDefault="00AF1F30">
    <w:pPr>
      <w:pStyle w:val="Koptekst"/>
    </w:pPr>
    <w:r>
      <w:rPr>
        <w:noProof/>
      </w:rPr>
      <w:drawing>
        <wp:anchor distT="0" distB="0" distL="114300" distR="114300" simplePos="0" relativeHeight="251658240" behindDoc="1" locked="0" layoutInCell="1" allowOverlap="1" wp14:anchorId="525AD966" wp14:editId="0A259D32">
          <wp:simplePos x="0" y="0"/>
          <wp:positionH relativeFrom="column">
            <wp:posOffset>-889635</wp:posOffset>
          </wp:positionH>
          <wp:positionV relativeFrom="paragraph">
            <wp:posOffset>-439420</wp:posOffset>
          </wp:positionV>
          <wp:extent cx="335077" cy="10692000"/>
          <wp:effectExtent l="0" t="0" r="0" b="0"/>
          <wp:wrapNone/>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95570"/>
                  <a:stretch/>
                </pic:blipFill>
                <pic:spPr bwMode="auto">
                  <a:xfrm>
                    <a:off x="0" y="0"/>
                    <a:ext cx="335077"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6599F" w14:textId="77777777" w:rsidR="00AF1F30" w:rsidRDefault="00AF1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554" w14:textId="482C94B7" w:rsidR="00AF1F30" w:rsidRDefault="00BB4540">
    <w:pPr>
      <w:pStyle w:val="Koptekst"/>
    </w:pPr>
    <w:r>
      <w:rPr>
        <w:noProof/>
      </w:rPr>
      <w:drawing>
        <wp:anchor distT="0" distB="0" distL="114300" distR="114300" simplePos="0" relativeHeight="251661312" behindDoc="1" locked="0" layoutInCell="1" allowOverlap="1" wp14:anchorId="7152090B" wp14:editId="0C336D76">
          <wp:simplePos x="0" y="0"/>
          <wp:positionH relativeFrom="column">
            <wp:posOffset>-598238</wp:posOffset>
          </wp:positionH>
          <wp:positionV relativeFrom="paragraph">
            <wp:posOffset>-439852</wp:posOffset>
          </wp:positionV>
          <wp:extent cx="5145932" cy="1976623"/>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3654" r="28264" b="81498"/>
                  <a:stretch/>
                </pic:blipFill>
                <pic:spPr bwMode="auto">
                  <a:xfrm>
                    <a:off x="0" y="0"/>
                    <a:ext cx="5146275"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F30">
      <w:rPr>
        <w:noProof/>
      </w:rPr>
      <w:drawing>
        <wp:anchor distT="0" distB="0" distL="114300" distR="114300" simplePos="0" relativeHeight="251659264" behindDoc="1" locked="0" layoutInCell="1" allowOverlap="1" wp14:anchorId="68D2883D" wp14:editId="15A3CE43">
          <wp:simplePos x="0" y="0"/>
          <wp:positionH relativeFrom="column">
            <wp:posOffset>-889635</wp:posOffset>
          </wp:positionH>
          <wp:positionV relativeFrom="paragraph">
            <wp:posOffset>-439258</wp:posOffset>
          </wp:positionV>
          <wp:extent cx="276446" cy="10685374"/>
          <wp:effectExtent l="0" t="0" r="3175"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2">
                    <a:extLst>
                      <a:ext uri="{28A0092B-C50C-407E-A947-70E740481C1C}">
                        <a14:useLocalDpi xmlns:a14="http://schemas.microsoft.com/office/drawing/2010/main" val="0"/>
                      </a:ext>
                    </a:extLst>
                  </a:blip>
                  <a:srcRect r="96343"/>
                  <a:stretch/>
                </pic:blipFill>
                <pic:spPr bwMode="auto">
                  <a:xfrm>
                    <a:off x="0" y="0"/>
                    <a:ext cx="276446" cy="10685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367C0"/>
    <w:multiLevelType w:val="multilevel"/>
    <w:tmpl w:val="EEC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91354"/>
    <w:multiLevelType w:val="multilevel"/>
    <w:tmpl w:val="5C5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4"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5" w15:restartNumberingAfterBreak="0">
    <w:nsid w:val="06E6613D"/>
    <w:multiLevelType w:val="multilevel"/>
    <w:tmpl w:val="6F2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23457"/>
    <w:multiLevelType w:val="multilevel"/>
    <w:tmpl w:val="6C3A5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4A048A"/>
    <w:multiLevelType w:val="hybridMultilevel"/>
    <w:tmpl w:val="0E4835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3236690"/>
    <w:multiLevelType w:val="hybridMultilevel"/>
    <w:tmpl w:val="3D08C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8072D1"/>
    <w:multiLevelType w:val="hybridMultilevel"/>
    <w:tmpl w:val="2214B2CC"/>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2" w15:restartNumberingAfterBreak="0">
    <w:nsid w:val="1E777532"/>
    <w:multiLevelType w:val="multilevel"/>
    <w:tmpl w:val="A7A88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6"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7" w15:restartNumberingAfterBreak="0">
    <w:nsid w:val="2CB5669F"/>
    <w:multiLevelType w:val="hybridMultilevel"/>
    <w:tmpl w:val="C188F2E0"/>
    <w:lvl w:ilvl="0" w:tplc="928A2842">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9" w15:restartNumberingAfterBreak="0">
    <w:nsid w:val="2E5E0C60"/>
    <w:multiLevelType w:val="hybridMultilevel"/>
    <w:tmpl w:val="4D2298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A862BE"/>
    <w:multiLevelType w:val="hybridMultilevel"/>
    <w:tmpl w:val="9886DBAE"/>
    <w:lvl w:ilvl="0" w:tplc="2C202438">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2"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3" w15:restartNumberingAfterBreak="0">
    <w:nsid w:val="35AE06BE"/>
    <w:multiLevelType w:val="multilevel"/>
    <w:tmpl w:val="898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2838B6"/>
    <w:multiLevelType w:val="hybridMultilevel"/>
    <w:tmpl w:val="3E666464"/>
    <w:lvl w:ilvl="0" w:tplc="E4120D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847600"/>
    <w:multiLevelType w:val="multilevel"/>
    <w:tmpl w:val="5A1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9B7173"/>
    <w:multiLevelType w:val="multilevel"/>
    <w:tmpl w:val="56684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41E69FA"/>
    <w:multiLevelType w:val="multilevel"/>
    <w:tmpl w:val="EE2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1752D1"/>
    <w:multiLevelType w:val="hybridMultilevel"/>
    <w:tmpl w:val="A13AC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A411FA"/>
    <w:multiLevelType w:val="multilevel"/>
    <w:tmpl w:val="8A7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DEE6A09"/>
    <w:multiLevelType w:val="hybridMultilevel"/>
    <w:tmpl w:val="3ECC7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4" w15:restartNumberingAfterBreak="0">
    <w:nsid w:val="4F2618BF"/>
    <w:multiLevelType w:val="hybridMultilevel"/>
    <w:tmpl w:val="0B1A2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15075B"/>
    <w:multiLevelType w:val="multilevel"/>
    <w:tmpl w:val="C8C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7" w15:restartNumberingAfterBreak="0">
    <w:nsid w:val="5A1C34F3"/>
    <w:multiLevelType w:val="hybridMultilevel"/>
    <w:tmpl w:val="970AC7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9" w15:restartNumberingAfterBreak="0">
    <w:nsid w:val="5E594AED"/>
    <w:multiLevelType w:val="hybridMultilevel"/>
    <w:tmpl w:val="2C02AB9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26329DF"/>
    <w:multiLevelType w:val="multilevel"/>
    <w:tmpl w:val="2AC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6E243D02"/>
    <w:multiLevelType w:val="hybridMultilevel"/>
    <w:tmpl w:val="F7FC1C82"/>
    <w:lvl w:ilvl="0" w:tplc="0413000F">
      <w:start w:val="1"/>
      <w:numFmt w:val="decimal"/>
      <w:lvlText w:val="%1."/>
      <w:lvlJc w:val="left"/>
      <w:pPr>
        <w:ind w:left="367" w:hanging="360"/>
      </w:pPr>
      <w:rPr>
        <w:rFonts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43" w15:restartNumberingAfterBreak="0">
    <w:nsid w:val="6E587E35"/>
    <w:multiLevelType w:val="hybridMultilevel"/>
    <w:tmpl w:val="FDAE8B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1784F83"/>
    <w:multiLevelType w:val="hybridMultilevel"/>
    <w:tmpl w:val="1ED4EB2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7BA6649"/>
    <w:multiLevelType w:val="hybridMultilevel"/>
    <w:tmpl w:val="84F89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num w:numId="1" w16cid:durableId="911043792">
    <w:abstractNumId w:val="2"/>
  </w:num>
  <w:num w:numId="2" w16cid:durableId="1561331456">
    <w:abstractNumId w:val="12"/>
  </w:num>
  <w:num w:numId="3" w16cid:durableId="1158226147">
    <w:abstractNumId w:val="6"/>
  </w:num>
  <w:num w:numId="4" w16cid:durableId="1657301297">
    <w:abstractNumId w:val="40"/>
  </w:num>
  <w:num w:numId="5" w16cid:durableId="361594228">
    <w:abstractNumId w:val="25"/>
  </w:num>
  <w:num w:numId="6" w16cid:durableId="408305047">
    <w:abstractNumId w:val="26"/>
  </w:num>
  <w:num w:numId="7" w16cid:durableId="982809845">
    <w:abstractNumId w:val="5"/>
  </w:num>
  <w:num w:numId="8" w16cid:durableId="735396132">
    <w:abstractNumId w:val="35"/>
  </w:num>
  <w:num w:numId="9" w16cid:durableId="55930968">
    <w:abstractNumId w:val="23"/>
  </w:num>
  <w:num w:numId="10" w16cid:durableId="1895500564">
    <w:abstractNumId w:val="29"/>
  </w:num>
  <w:num w:numId="11" w16cid:durableId="289942304">
    <w:abstractNumId w:val="1"/>
  </w:num>
  <w:num w:numId="12" w16cid:durableId="1064908946">
    <w:abstractNumId w:val="27"/>
  </w:num>
  <w:num w:numId="13" w16cid:durableId="1486124495">
    <w:abstractNumId w:val="45"/>
  </w:num>
  <w:num w:numId="14" w16cid:durableId="1435830741">
    <w:abstractNumId w:val="19"/>
  </w:num>
  <w:num w:numId="15" w16cid:durableId="1110471766">
    <w:abstractNumId w:val="39"/>
  </w:num>
  <w:num w:numId="16" w16cid:durableId="469251978">
    <w:abstractNumId w:val="43"/>
  </w:num>
  <w:num w:numId="17" w16cid:durableId="866530047">
    <w:abstractNumId w:val="28"/>
  </w:num>
  <w:num w:numId="18" w16cid:durableId="1968003141">
    <w:abstractNumId w:val="32"/>
  </w:num>
  <w:num w:numId="19" w16cid:durableId="919213628">
    <w:abstractNumId w:val="9"/>
  </w:num>
  <w:num w:numId="20" w16cid:durableId="797409049">
    <w:abstractNumId w:val="34"/>
  </w:num>
  <w:num w:numId="21" w16cid:durableId="12415204">
    <w:abstractNumId w:val="24"/>
  </w:num>
  <w:num w:numId="22" w16cid:durableId="1928032925">
    <w:abstractNumId w:val="37"/>
  </w:num>
  <w:num w:numId="23" w16cid:durableId="1234588151">
    <w:abstractNumId w:val="7"/>
  </w:num>
  <w:num w:numId="24" w16cid:durableId="1443188018">
    <w:abstractNumId w:val="44"/>
  </w:num>
  <w:num w:numId="25" w16cid:durableId="206182907">
    <w:abstractNumId w:val="17"/>
  </w:num>
  <w:num w:numId="26" w16cid:durableId="959073518">
    <w:abstractNumId w:val="0"/>
  </w:num>
  <w:num w:numId="27" w16cid:durableId="422920077">
    <w:abstractNumId w:val="33"/>
  </w:num>
  <w:num w:numId="28" w16cid:durableId="933825369">
    <w:abstractNumId w:val="13"/>
  </w:num>
  <w:num w:numId="29" w16cid:durableId="429006433">
    <w:abstractNumId w:val="38"/>
  </w:num>
  <w:num w:numId="30" w16cid:durableId="330525752">
    <w:abstractNumId w:val="18"/>
  </w:num>
  <w:num w:numId="31" w16cid:durableId="1977175654">
    <w:abstractNumId w:val="20"/>
  </w:num>
  <w:num w:numId="32" w16cid:durableId="1873613007">
    <w:abstractNumId w:val="22"/>
  </w:num>
  <w:num w:numId="33" w16cid:durableId="306975249">
    <w:abstractNumId w:val="21"/>
  </w:num>
  <w:num w:numId="34" w16cid:durableId="1414352374">
    <w:abstractNumId w:val="36"/>
  </w:num>
  <w:num w:numId="35" w16cid:durableId="713580858">
    <w:abstractNumId w:val="10"/>
  </w:num>
  <w:num w:numId="36" w16cid:durableId="970940388">
    <w:abstractNumId w:val="41"/>
  </w:num>
  <w:num w:numId="37" w16cid:durableId="2049211352">
    <w:abstractNumId w:val="16"/>
  </w:num>
  <w:num w:numId="38" w16cid:durableId="1779636199">
    <w:abstractNumId w:val="4"/>
  </w:num>
  <w:num w:numId="39" w16cid:durableId="613248182">
    <w:abstractNumId w:val="46"/>
  </w:num>
  <w:num w:numId="40" w16cid:durableId="1524317923">
    <w:abstractNumId w:val="3"/>
  </w:num>
  <w:num w:numId="41" w16cid:durableId="1833834877">
    <w:abstractNumId w:val="3"/>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42" w16cid:durableId="1688143030">
    <w:abstractNumId w:val="11"/>
  </w:num>
  <w:num w:numId="43" w16cid:durableId="1493375180">
    <w:abstractNumId w:val="15"/>
  </w:num>
  <w:num w:numId="44" w16cid:durableId="157430920">
    <w:abstractNumId w:val="8"/>
  </w:num>
  <w:num w:numId="45" w16cid:durableId="2052028079">
    <w:abstractNumId w:val="42"/>
  </w:num>
  <w:num w:numId="46" w16cid:durableId="1691905575">
    <w:abstractNumId w:val="14"/>
  </w:num>
  <w:num w:numId="47" w16cid:durableId="260799587">
    <w:abstractNumId w:val="31"/>
  </w:num>
  <w:num w:numId="48" w16cid:durableId="64828891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30"/>
    <w:rsid w:val="00000CCD"/>
    <w:rsid w:val="000047F9"/>
    <w:rsid w:val="00004BAE"/>
    <w:rsid w:val="00020865"/>
    <w:rsid w:val="00024E4B"/>
    <w:rsid w:val="0002728C"/>
    <w:rsid w:val="000456AE"/>
    <w:rsid w:val="00050123"/>
    <w:rsid w:val="000636CF"/>
    <w:rsid w:val="00064B15"/>
    <w:rsid w:val="000663E5"/>
    <w:rsid w:val="000745EC"/>
    <w:rsid w:val="0007753F"/>
    <w:rsid w:val="000A6104"/>
    <w:rsid w:val="000B058F"/>
    <w:rsid w:val="000B3ECE"/>
    <w:rsid w:val="000B6817"/>
    <w:rsid w:val="000F3EFF"/>
    <w:rsid w:val="000F654B"/>
    <w:rsid w:val="001036DC"/>
    <w:rsid w:val="00110FDD"/>
    <w:rsid w:val="0011658F"/>
    <w:rsid w:val="00122B2D"/>
    <w:rsid w:val="00123379"/>
    <w:rsid w:val="001343E8"/>
    <w:rsid w:val="00170A13"/>
    <w:rsid w:val="001717C6"/>
    <w:rsid w:val="001734BD"/>
    <w:rsid w:val="001829F9"/>
    <w:rsid w:val="00193D0E"/>
    <w:rsid w:val="001A58AC"/>
    <w:rsid w:val="001F16B7"/>
    <w:rsid w:val="00200154"/>
    <w:rsid w:val="00211EE6"/>
    <w:rsid w:val="002136C0"/>
    <w:rsid w:val="00263356"/>
    <w:rsid w:val="0026402E"/>
    <w:rsid w:val="002704A9"/>
    <w:rsid w:val="00270519"/>
    <w:rsid w:val="00294B68"/>
    <w:rsid w:val="002A6EFD"/>
    <w:rsid w:val="002B1E51"/>
    <w:rsid w:val="002C2DB5"/>
    <w:rsid w:val="002C7796"/>
    <w:rsid w:val="002D4879"/>
    <w:rsid w:val="002E57E4"/>
    <w:rsid w:val="002F3583"/>
    <w:rsid w:val="0032091A"/>
    <w:rsid w:val="00342517"/>
    <w:rsid w:val="00346C7C"/>
    <w:rsid w:val="00346DEF"/>
    <w:rsid w:val="0035449C"/>
    <w:rsid w:val="0036597D"/>
    <w:rsid w:val="0038102F"/>
    <w:rsid w:val="00391859"/>
    <w:rsid w:val="003B338E"/>
    <w:rsid w:val="003C117E"/>
    <w:rsid w:val="003C7410"/>
    <w:rsid w:val="003D0EC4"/>
    <w:rsid w:val="003D7FAD"/>
    <w:rsid w:val="003E54E4"/>
    <w:rsid w:val="003F1004"/>
    <w:rsid w:val="003F173A"/>
    <w:rsid w:val="003F79F2"/>
    <w:rsid w:val="0040525C"/>
    <w:rsid w:val="004335DE"/>
    <w:rsid w:val="0044104A"/>
    <w:rsid w:val="0044627E"/>
    <w:rsid w:val="00446628"/>
    <w:rsid w:val="0046002B"/>
    <w:rsid w:val="00471A68"/>
    <w:rsid w:val="004837BB"/>
    <w:rsid w:val="00484B19"/>
    <w:rsid w:val="004A7B1D"/>
    <w:rsid w:val="004B0FA8"/>
    <w:rsid w:val="004D7FA8"/>
    <w:rsid w:val="005024DE"/>
    <w:rsid w:val="00516B50"/>
    <w:rsid w:val="005257B0"/>
    <w:rsid w:val="005402D9"/>
    <w:rsid w:val="00543C8B"/>
    <w:rsid w:val="005456F7"/>
    <w:rsid w:val="00561F2B"/>
    <w:rsid w:val="0056688C"/>
    <w:rsid w:val="00572400"/>
    <w:rsid w:val="00574712"/>
    <w:rsid w:val="00580CE1"/>
    <w:rsid w:val="00587EC5"/>
    <w:rsid w:val="00590156"/>
    <w:rsid w:val="005908BD"/>
    <w:rsid w:val="00596379"/>
    <w:rsid w:val="005A5392"/>
    <w:rsid w:val="005B6016"/>
    <w:rsid w:val="005D22B0"/>
    <w:rsid w:val="005D2B85"/>
    <w:rsid w:val="005F0610"/>
    <w:rsid w:val="005F3633"/>
    <w:rsid w:val="00603E3E"/>
    <w:rsid w:val="00606EAE"/>
    <w:rsid w:val="0060735E"/>
    <w:rsid w:val="00617794"/>
    <w:rsid w:val="00643E3B"/>
    <w:rsid w:val="0064657A"/>
    <w:rsid w:val="0065290F"/>
    <w:rsid w:val="00666159"/>
    <w:rsid w:val="00667DF8"/>
    <w:rsid w:val="00671753"/>
    <w:rsid w:val="0067376B"/>
    <w:rsid w:val="006844C1"/>
    <w:rsid w:val="00695FEF"/>
    <w:rsid w:val="006A2A4A"/>
    <w:rsid w:val="006B089E"/>
    <w:rsid w:val="006B709B"/>
    <w:rsid w:val="006C1958"/>
    <w:rsid w:val="006D2204"/>
    <w:rsid w:val="006F4604"/>
    <w:rsid w:val="007447E2"/>
    <w:rsid w:val="00771C85"/>
    <w:rsid w:val="007724FE"/>
    <w:rsid w:val="00795E3B"/>
    <w:rsid w:val="007A63FB"/>
    <w:rsid w:val="007D4DA6"/>
    <w:rsid w:val="007E76F0"/>
    <w:rsid w:val="00810328"/>
    <w:rsid w:val="00812F16"/>
    <w:rsid w:val="008357D0"/>
    <w:rsid w:val="0084164D"/>
    <w:rsid w:val="00845ACE"/>
    <w:rsid w:val="008471CB"/>
    <w:rsid w:val="0087217B"/>
    <w:rsid w:val="00872535"/>
    <w:rsid w:val="0089407E"/>
    <w:rsid w:val="008B2A65"/>
    <w:rsid w:val="008C7257"/>
    <w:rsid w:val="008C768F"/>
    <w:rsid w:val="008D7590"/>
    <w:rsid w:val="008E6244"/>
    <w:rsid w:val="008F28CC"/>
    <w:rsid w:val="009218A1"/>
    <w:rsid w:val="009230E4"/>
    <w:rsid w:val="009309E9"/>
    <w:rsid w:val="0093348F"/>
    <w:rsid w:val="00936E11"/>
    <w:rsid w:val="00937748"/>
    <w:rsid w:val="00940C4D"/>
    <w:rsid w:val="009436D2"/>
    <w:rsid w:val="009566DE"/>
    <w:rsid w:val="00965E03"/>
    <w:rsid w:val="0097232C"/>
    <w:rsid w:val="00994FC7"/>
    <w:rsid w:val="009A2B10"/>
    <w:rsid w:val="009B1B57"/>
    <w:rsid w:val="009C263F"/>
    <w:rsid w:val="009C688F"/>
    <w:rsid w:val="009E6A6F"/>
    <w:rsid w:val="009F04B8"/>
    <w:rsid w:val="009F194F"/>
    <w:rsid w:val="00A04D42"/>
    <w:rsid w:val="00A51D68"/>
    <w:rsid w:val="00A759B2"/>
    <w:rsid w:val="00A84A49"/>
    <w:rsid w:val="00A84C3C"/>
    <w:rsid w:val="00AF1F30"/>
    <w:rsid w:val="00AF230B"/>
    <w:rsid w:val="00AF40A5"/>
    <w:rsid w:val="00AF7967"/>
    <w:rsid w:val="00B14661"/>
    <w:rsid w:val="00B161F1"/>
    <w:rsid w:val="00B20826"/>
    <w:rsid w:val="00B30108"/>
    <w:rsid w:val="00B36827"/>
    <w:rsid w:val="00B41A83"/>
    <w:rsid w:val="00B52FA5"/>
    <w:rsid w:val="00B56F1B"/>
    <w:rsid w:val="00B762EE"/>
    <w:rsid w:val="00BA67EE"/>
    <w:rsid w:val="00BA6B9C"/>
    <w:rsid w:val="00BB1088"/>
    <w:rsid w:val="00BB4540"/>
    <w:rsid w:val="00BF1051"/>
    <w:rsid w:val="00BF273D"/>
    <w:rsid w:val="00C11EE8"/>
    <w:rsid w:val="00C14663"/>
    <w:rsid w:val="00C44A37"/>
    <w:rsid w:val="00C46FFC"/>
    <w:rsid w:val="00C61A2F"/>
    <w:rsid w:val="00C80292"/>
    <w:rsid w:val="00CA2930"/>
    <w:rsid w:val="00CB665B"/>
    <w:rsid w:val="00CF0F75"/>
    <w:rsid w:val="00CF47CD"/>
    <w:rsid w:val="00D13751"/>
    <w:rsid w:val="00D358EE"/>
    <w:rsid w:val="00D407E9"/>
    <w:rsid w:val="00D55017"/>
    <w:rsid w:val="00DC1A18"/>
    <w:rsid w:val="00DC48E6"/>
    <w:rsid w:val="00DD1E1D"/>
    <w:rsid w:val="00DD7BB9"/>
    <w:rsid w:val="00DE689F"/>
    <w:rsid w:val="00DF4E7B"/>
    <w:rsid w:val="00DF658A"/>
    <w:rsid w:val="00E02545"/>
    <w:rsid w:val="00E26B9D"/>
    <w:rsid w:val="00E4722D"/>
    <w:rsid w:val="00E955F7"/>
    <w:rsid w:val="00EA2EB1"/>
    <w:rsid w:val="00EA597B"/>
    <w:rsid w:val="00EC1852"/>
    <w:rsid w:val="00EC1DB7"/>
    <w:rsid w:val="00EC3DA1"/>
    <w:rsid w:val="00EC4AC0"/>
    <w:rsid w:val="00ED54E1"/>
    <w:rsid w:val="00F013EA"/>
    <w:rsid w:val="00F1395B"/>
    <w:rsid w:val="00F1715F"/>
    <w:rsid w:val="00F219C4"/>
    <w:rsid w:val="00F242BE"/>
    <w:rsid w:val="00F87B6B"/>
    <w:rsid w:val="00F93634"/>
    <w:rsid w:val="00FA1F6A"/>
    <w:rsid w:val="00FC130B"/>
    <w:rsid w:val="00FC4317"/>
    <w:rsid w:val="00FC7954"/>
    <w:rsid w:val="00FE6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191AC"/>
  <w15:chartTrackingRefBased/>
  <w15:docId w15:val="{07C0C821-0D6E-A54A-91C6-E4A0D22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9C4"/>
    <w:pPr>
      <w:spacing w:line="276" w:lineRule="auto"/>
    </w:pPr>
  </w:style>
  <w:style w:type="paragraph" w:styleId="Kop1">
    <w:name w:val="heading 1"/>
    <w:basedOn w:val="Standaard"/>
    <w:next w:val="Standaard"/>
    <w:link w:val="Kop1Char"/>
    <w:uiPriority w:val="9"/>
    <w:qFormat/>
    <w:rsid w:val="008103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165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8357D0"/>
    <w:pPr>
      <w:keepNext/>
      <w:keepLines/>
      <w:spacing w:before="40" w:line="240" w:lineRule="atLeast"/>
      <w:jc w:val="both"/>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6B70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F30"/>
    <w:pPr>
      <w:tabs>
        <w:tab w:val="center" w:pos="4536"/>
        <w:tab w:val="right" w:pos="9072"/>
      </w:tabs>
    </w:pPr>
  </w:style>
  <w:style w:type="character" w:customStyle="1" w:styleId="KoptekstChar">
    <w:name w:val="Koptekst Char"/>
    <w:basedOn w:val="Standaardalinea-lettertype"/>
    <w:link w:val="Koptekst"/>
    <w:uiPriority w:val="99"/>
    <w:rsid w:val="00AF1F30"/>
  </w:style>
  <w:style w:type="paragraph" w:styleId="Voettekst">
    <w:name w:val="footer"/>
    <w:basedOn w:val="Standaard"/>
    <w:link w:val="VoettekstChar"/>
    <w:uiPriority w:val="99"/>
    <w:unhideWhenUsed/>
    <w:rsid w:val="00AF1F30"/>
    <w:pPr>
      <w:tabs>
        <w:tab w:val="center" w:pos="4536"/>
        <w:tab w:val="right" w:pos="9072"/>
      </w:tabs>
    </w:pPr>
  </w:style>
  <w:style w:type="character" w:customStyle="1" w:styleId="VoettekstChar">
    <w:name w:val="Voettekst Char"/>
    <w:basedOn w:val="Standaardalinea-lettertype"/>
    <w:link w:val="Voettekst"/>
    <w:uiPriority w:val="99"/>
    <w:rsid w:val="00AF1F30"/>
  </w:style>
  <w:style w:type="character" w:styleId="Regelnummer">
    <w:name w:val="line number"/>
    <w:basedOn w:val="Standaardalinea-lettertype"/>
    <w:uiPriority w:val="99"/>
    <w:semiHidden/>
    <w:unhideWhenUsed/>
    <w:rsid w:val="008B2A65"/>
  </w:style>
  <w:style w:type="table" w:styleId="Tabelraster">
    <w:name w:val="Table Grid"/>
    <w:basedOn w:val="Standaardtabel"/>
    <w:uiPriority w:val="59"/>
    <w:rsid w:val="00516B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43E3B"/>
  </w:style>
  <w:style w:type="paragraph" w:customStyle="1" w:styleId="Default">
    <w:name w:val="Default"/>
    <w:rsid w:val="008C768F"/>
    <w:pPr>
      <w:autoSpaceDE w:val="0"/>
      <w:autoSpaceDN w:val="0"/>
      <w:adjustRightInd w:val="0"/>
    </w:pPr>
    <w:rPr>
      <w:rFonts w:ascii="Tahoma" w:hAnsi="Tahoma" w:cs="Tahoma"/>
      <w:color w:val="000000"/>
    </w:rPr>
  </w:style>
  <w:style w:type="paragraph" w:styleId="Lijstalinea">
    <w:name w:val="List Paragraph"/>
    <w:aliases w:val="Opsomming ISHW"/>
    <w:basedOn w:val="Standaard"/>
    <w:uiPriority w:val="34"/>
    <w:qFormat/>
    <w:rsid w:val="008C768F"/>
    <w:pPr>
      <w:spacing w:after="200" w:line="240" w:lineRule="auto"/>
      <w:ind w:left="720"/>
      <w:contextualSpacing/>
    </w:pPr>
    <w:rPr>
      <w:sz w:val="22"/>
      <w:szCs w:val="22"/>
    </w:rPr>
  </w:style>
  <w:style w:type="character" w:styleId="Voetnootmarkering">
    <w:name w:val="footnote reference"/>
    <w:basedOn w:val="Standaardalinea-lettertype"/>
    <w:uiPriority w:val="99"/>
    <w:unhideWhenUsed/>
    <w:rsid w:val="008E6244"/>
    <w:rPr>
      <w:vertAlign w:val="superscript"/>
    </w:rPr>
  </w:style>
  <w:style w:type="paragraph" w:styleId="Voetnoottekst">
    <w:name w:val="footnote text"/>
    <w:basedOn w:val="Standaard"/>
    <w:link w:val="VoetnoottekstChar"/>
    <w:uiPriority w:val="99"/>
    <w:unhideWhenUsed/>
    <w:rsid w:val="008E6244"/>
    <w:pPr>
      <w:widowControl w:val="0"/>
      <w:autoSpaceDE w:val="0"/>
      <w:autoSpaceDN w:val="0"/>
      <w:adjustRightInd w:val="0"/>
      <w:spacing w:line="240" w:lineRule="auto"/>
      <w:ind w:left="170" w:hanging="170"/>
    </w:pPr>
    <w:rPr>
      <w:rFonts w:ascii="Times New Roman" w:eastAsiaTheme="minorEastAsia" w:hAnsi="Times New Roman" w:cs="Times New Roman"/>
      <w:sz w:val="16"/>
      <w:szCs w:val="20"/>
      <w:lang w:val="en-US" w:eastAsia="nl-NL"/>
    </w:rPr>
  </w:style>
  <w:style w:type="character" w:customStyle="1" w:styleId="VoetnoottekstChar">
    <w:name w:val="Voetnoottekst Char"/>
    <w:basedOn w:val="Standaardalinea-lettertype"/>
    <w:link w:val="Voetnoottekst"/>
    <w:uiPriority w:val="99"/>
    <w:rsid w:val="008E6244"/>
    <w:rPr>
      <w:rFonts w:ascii="Times New Roman" w:eastAsiaTheme="minorEastAsia" w:hAnsi="Times New Roman" w:cs="Times New Roman"/>
      <w:sz w:val="16"/>
      <w:szCs w:val="20"/>
      <w:lang w:val="en-US" w:eastAsia="nl-NL"/>
    </w:rPr>
  </w:style>
  <w:style w:type="character" w:customStyle="1" w:styleId="Kop3Char">
    <w:name w:val="Kop 3 Char"/>
    <w:basedOn w:val="Standaardalinea-lettertype"/>
    <w:link w:val="Kop3"/>
    <w:rsid w:val="008357D0"/>
    <w:rPr>
      <w:rFonts w:asciiTheme="majorHAnsi" w:eastAsiaTheme="majorEastAsia" w:hAnsiTheme="majorHAnsi" w:cstheme="majorBidi"/>
      <w:color w:val="1F3763" w:themeColor="accent1" w:themeShade="7F"/>
    </w:rPr>
  </w:style>
  <w:style w:type="paragraph" w:styleId="Geenafstand">
    <w:name w:val="No Spacing"/>
    <w:link w:val="GeenafstandChar"/>
    <w:uiPriority w:val="1"/>
    <w:qFormat/>
    <w:rsid w:val="008357D0"/>
    <w:rPr>
      <w:sz w:val="22"/>
      <w:szCs w:val="20"/>
    </w:rPr>
  </w:style>
  <w:style w:type="character" w:customStyle="1" w:styleId="GeenafstandChar">
    <w:name w:val="Geen afstand Char"/>
    <w:basedOn w:val="Standaardalinea-lettertype"/>
    <w:link w:val="Geenafstand"/>
    <w:uiPriority w:val="1"/>
    <w:rsid w:val="008357D0"/>
    <w:rPr>
      <w:sz w:val="22"/>
      <w:szCs w:val="20"/>
    </w:rPr>
  </w:style>
  <w:style w:type="character" w:styleId="Hyperlink">
    <w:name w:val="Hyperlink"/>
    <w:uiPriority w:val="99"/>
    <w:semiHidden/>
    <w:unhideWhenUsed/>
    <w:rsid w:val="00BF273D"/>
    <w:rPr>
      <w:color w:val="0000FF"/>
      <w:u w:val="single"/>
    </w:rPr>
  </w:style>
  <w:style w:type="character" w:customStyle="1" w:styleId="Kop4Char">
    <w:name w:val="Kop 4 Char"/>
    <w:basedOn w:val="Standaardalinea-lettertype"/>
    <w:link w:val="Kop4"/>
    <w:uiPriority w:val="9"/>
    <w:semiHidden/>
    <w:rsid w:val="006B709B"/>
    <w:rPr>
      <w:rFonts w:asciiTheme="majorHAnsi" w:eastAsiaTheme="majorEastAsia" w:hAnsiTheme="majorHAnsi" w:cstheme="majorBidi"/>
      <w:i/>
      <w:iCs/>
      <w:color w:val="2F5496" w:themeColor="accent1" w:themeShade="BF"/>
    </w:rPr>
  </w:style>
  <w:style w:type="character" w:styleId="Nadruk">
    <w:name w:val="Emphasis"/>
    <w:basedOn w:val="Standaardalinea-lettertype"/>
    <w:uiPriority w:val="20"/>
    <w:qFormat/>
    <w:rsid w:val="006B709B"/>
    <w:rPr>
      <w:i/>
      <w:iCs/>
    </w:rPr>
  </w:style>
  <w:style w:type="character" w:customStyle="1" w:styleId="Kop2Char">
    <w:name w:val="Kop 2 Char"/>
    <w:basedOn w:val="Standaardalinea-lettertype"/>
    <w:link w:val="Kop2"/>
    <w:uiPriority w:val="9"/>
    <w:semiHidden/>
    <w:rsid w:val="0011658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10328"/>
    <w:rPr>
      <w:rFonts w:asciiTheme="majorHAnsi" w:eastAsiaTheme="majorEastAsia" w:hAnsiTheme="majorHAnsi" w:cstheme="majorBidi"/>
      <w:color w:val="2F5496" w:themeColor="accent1" w:themeShade="BF"/>
      <w:sz w:val="32"/>
      <w:szCs w:val="32"/>
    </w:rPr>
  </w:style>
  <w:style w:type="paragraph" w:customStyle="1" w:styleId="000">
    <w:name w:val="000"/>
    <w:aliases w:val="standaard"/>
    <w:basedOn w:val="Standaard"/>
    <w:rsid w:val="00810328"/>
    <w:pPr>
      <w:overflowPunct w:val="0"/>
      <w:autoSpaceDE w:val="0"/>
      <w:autoSpaceDN w:val="0"/>
      <w:adjustRightInd w:val="0"/>
      <w:spacing w:line="260" w:lineRule="atLeast"/>
    </w:pPr>
    <w:rPr>
      <w:rFonts w:ascii="EYInterstate Light" w:eastAsia="Times New Roman" w:hAnsi="EYInterstate Light" w:cs="Times New Roman"/>
      <w:sz w:val="20"/>
      <w:szCs w:val="20"/>
    </w:rPr>
  </w:style>
  <w:style w:type="paragraph" w:styleId="Normaalweb">
    <w:name w:val="Normal (Web)"/>
    <w:basedOn w:val="Standaard"/>
    <w:uiPriority w:val="99"/>
    <w:semiHidden/>
    <w:unhideWhenUsed/>
    <w:rsid w:val="00020865"/>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paragraph">
    <w:name w:val="paragraph"/>
    <w:basedOn w:val="Standaard"/>
    <w:rsid w:val="00020865"/>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normaltextrun">
    <w:name w:val="normaltextrun"/>
    <w:basedOn w:val="Standaardalinea-lettertype"/>
    <w:rsid w:val="00020865"/>
  </w:style>
  <w:style w:type="character" w:customStyle="1" w:styleId="eop">
    <w:name w:val="eop"/>
    <w:basedOn w:val="Standaardalinea-lettertype"/>
    <w:rsid w:val="00020865"/>
  </w:style>
  <w:style w:type="table" w:customStyle="1" w:styleId="Tabelraster1">
    <w:name w:val="Tabelraster1"/>
    <w:basedOn w:val="Standaardtabel"/>
    <w:next w:val="Tabelraster"/>
    <w:uiPriority w:val="39"/>
    <w:rsid w:val="0034251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24DE"/>
    <w:rPr>
      <w:sz w:val="16"/>
      <w:szCs w:val="16"/>
    </w:rPr>
  </w:style>
  <w:style w:type="paragraph" w:styleId="Tekstopmerking">
    <w:name w:val="annotation text"/>
    <w:basedOn w:val="Standaard"/>
    <w:link w:val="TekstopmerkingChar"/>
    <w:uiPriority w:val="99"/>
    <w:unhideWhenUsed/>
    <w:rsid w:val="005024DE"/>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5024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7606">
      <w:bodyDiv w:val="1"/>
      <w:marLeft w:val="0"/>
      <w:marRight w:val="0"/>
      <w:marTop w:val="0"/>
      <w:marBottom w:val="0"/>
      <w:divBdr>
        <w:top w:val="none" w:sz="0" w:space="0" w:color="auto"/>
        <w:left w:val="none" w:sz="0" w:space="0" w:color="auto"/>
        <w:bottom w:val="none" w:sz="0" w:space="0" w:color="auto"/>
        <w:right w:val="none" w:sz="0" w:space="0" w:color="auto"/>
      </w:divBdr>
    </w:div>
    <w:div w:id="1248886352">
      <w:bodyDiv w:val="1"/>
      <w:marLeft w:val="0"/>
      <w:marRight w:val="0"/>
      <w:marTop w:val="0"/>
      <w:marBottom w:val="0"/>
      <w:divBdr>
        <w:top w:val="none" w:sz="0" w:space="0" w:color="auto"/>
        <w:left w:val="none" w:sz="0" w:space="0" w:color="auto"/>
        <w:bottom w:val="none" w:sz="0" w:space="0" w:color="auto"/>
        <w:right w:val="none" w:sz="0" w:space="0" w:color="auto"/>
      </w:divBdr>
    </w:div>
    <w:div w:id="15547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35fbc-f4bc-4f5d-8f47-b166ce088e84" xsi:nil="true"/>
    <lcf76f155ced4ddcb4097134ff3c332f xmlns="9e7f8444-688e-47d1-94a6-7d82b61bc6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8CBB426B3C844B577D29E6EFF8FFC" ma:contentTypeVersion="22" ma:contentTypeDescription="Een nieuw document maken." ma:contentTypeScope="" ma:versionID="e5d3db74ce7cb1d485814323807a4a53">
  <xsd:schema xmlns:xsd="http://www.w3.org/2001/XMLSchema" xmlns:xs="http://www.w3.org/2001/XMLSchema" xmlns:p="http://schemas.microsoft.com/office/2006/metadata/properties" xmlns:ns2="9e7f8444-688e-47d1-94a6-7d82b61bc6b0" xmlns:ns3="44635fbc-f4bc-4f5d-8f47-b166ce088e84" targetNamespace="http://schemas.microsoft.com/office/2006/metadata/properties" ma:root="true" ma:fieldsID="57abb06b2de6b2ce9b4a5d452a56a7fb" ns2:_="" ns3:_="">
    <xsd:import namespace="9e7f8444-688e-47d1-94a6-7d82b61bc6b0"/>
    <xsd:import namespace="44635fbc-f4bc-4f5d-8f47-b166ce088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8444-688e-47d1-94a6-7d82b61bc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112abdf-f523-4639-96a5-3fcbac1550ad"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35fbc-f4bc-4f5d-8f47-b166ce088e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0b07a1a-ad97-4200-80aa-e5b86dbac7d0}" ma:internalName="TaxCatchAll" ma:showField="CatchAllData" ma:web="44635fbc-f4bc-4f5d-8f47-b166ce088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D620C-FE00-46CC-8E63-563CB8DD7E3C}">
  <ds:schemaRefs>
    <ds:schemaRef ds:uri="http://schemas.microsoft.com/office/2006/metadata/properties"/>
    <ds:schemaRef ds:uri="http://schemas.microsoft.com/office/infopath/2007/PartnerControls"/>
    <ds:schemaRef ds:uri="1fbdb905-2763-4a8d-a59b-382c53a157fc"/>
    <ds:schemaRef ds:uri="4287218e-4874-4ad7-a1e9-45299e6c74b0"/>
  </ds:schemaRefs>
</ds:datastoreItem>
</file>

<file path=customXml/itemProps2.xml><?xml version="1.0" encoding="utf-8"?>
<ds:datastoreItem xmlns:ds="http://schemas.openxmlformats.org/officeDocument/2006/customXml" ds:itemID="{837027B3-DC43-4006-9B14-C7A585C61CD2}"/>
</file>

<file path=customXml/itemProps3.xml><?xml version="1.0" encoding="utf-8"?>
<ds:datastoreItem xmlns:ds="http://schemas.openxmlformats.org/officeDocument/2006/customXml" ds:itemID="{2ACD0372-F724-B545-BB76-DC749A69C252}">
  <ds:schemaRefs>
    <ds:schemaRef ds:uri="http://schemas.openxmlformats.org/officeDocument/2006/bibliography"/>
  </ds:schemaRefs>
</ds:datastoreItem>
</file>

<file path=customXml/itemProps4.xml><?xml version="1.0" encoding="utf-8"?>
<ds:datastoreItem xmlns:ds="http://schemas.openxmlformats.org/officeDocument/2006/customXml" ds:itemID="{F4C015F8-70BD-47C4-9D39-BECB6EDE8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13769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Dankers | Novente</dc:creator>
  <cp:keywords/>
  <dc:description/>
  <cp:lastModifiedBy>J. Los</cp:lastModifiedBy>
  <cp:revision>2</cp:revision>
  <cp:lastPrinted>2023-02-22T10:21:00Z</cp:lastPrinted>
  <dcterms:created xsi:type="dcterms:W3CDTF">2023-03-28T11:25:00Z</dcterms:created>
  <dcterms:modified xsi:type="dcterms:W3CDTF">2023-03-28T11:25:00Z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0x0101005D5307D1AC47D946A0CA1F02451D1A7B</vt:lpwstr>
  </property>
  <property fmtid="{D5CDD505-2E9C-101B-9397-08002B2CF9AE}" pid="3" name="Order">
    <vt:r8>2868500</vt:r8>
  </property>
  <property fmtid="{D5CDD505-2E9C-101B-9397-08002B2CF9AE}" pid="4" name="_ExtendedDescription">
    <vt:lpwstr/>
  </property>
  <property fmtid="{D5CDD505-2E9C-101B-9397-08002B2CF9AE}" pid="5" name="MediaServiceImageTags">
    <vt:lpwstr/>
  </property>
</Properties>
</file>